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B05B" w14:textId="364B5E00" w:rsidR="00EB09A5" w:rsidRPr="00EB09A5" w:rsidRDefault="00EB09A5" w:rsidP="00EB09A5">
      <w:pPr>
        <w:pStyle w:val="TitleDate"/>
        <w:rPr>
          <w:color w:val="auto"/>
          <w:sz w:val="36"/>
        </w:rPr>
      </w:pPr>
      <w:r w:rsidRPr="00EB09A5">
        <w:rPr>
          <w:color w:val="auto"/>
          <w:sz w:val="36"/>
        </w:rPr>
        <w:t xml:space="preserve">ARMA </w:t>
      </w:r>
      <w:proofErr w:type="spellStart"/>
      <w:r w:rsidRPr="00EB09A5">
        <w:rPr>
          <w:color w:val="auto"/>
          <w:sz w:val="36"/>
        </w:rPr>
        <w:t>Info</w:t>
      </w:r>
      <w:r w:rsidR="00A52936">
        <w:rPr>
          <w:color w:val="auto"/>
          <w:sz w:val="36"/>
        </w:rPr>
        <w:t>NEXT</w:t>
      </w:r>
      <w:proofErr w:type="spellEnd"/>
      <w:r w:rsidRPr="00EB09A5">
        <w:rPr>
          <w:color w:val="auto"/>
          <w:sz w:val="36"/>
        </w:rPr>
        <w:t xml:space="preserve"> 202</w:t>
      </w:r>
      <w:r w:rsidR="00A52936">
        <w:rPr>
          <w:color w:val="auto"/>
          <w:sz w:val="36"/>
        </w:rPr>
        <w:t>6</w:t>
      </w:r>
    </w:p>
    <w:p w14:paraId="5E4580C0" w14:textId="4DA3F3AE" w:rsidR="00300F7D" w:rsidRDefault="00097B7A" w:rsidP="00EB09A5">
      <w:pPr>
        <w:tabs>
          <w:tab w:val="left" w:pos="360"/>
          <w:tab w:val="left" w:pos="3600"/>
        </w:tabs>
        <w:rPr>
          <w:rFonts w:ascii="Verdana" w:hAnsi="Verdana"/>
          <w:b/>
          <w:bCs/>
          <w:sz w:val="36"/>
          <w:szCs w:val="36"/>
        </w:rPr>
      </w:pPr>
      <w:r>
        <w:rPr>
          <w:rFonts w:ascii="Verdana" w:hAnsi="Verdana"/>
          <w:b/>
          <w:bCs/>
          <w:sz w:val="36"/>
          <w:szCs w:val="36"/>
        </w:rPr>
        <w:t xml:space="preserve">Conference </w:t>
      </w:r>
      <w:r w:rsidR="00EB09A5" w:rsidRPr="00EB09A5">
        <w:rPr>
          <w:rFonts w:ascii="Verdana" w:hAnsi="Verdana"/>
          <w:b/>
          <w:bCs/>
          <w:sz w:val="36"/>
          <w:szCs w:val="36"/>
        </w:rPr>
        <w:t>Attendance Benefits Worksheet</w:t>
      </w:r>
    </w:p>
    <w:p w14:paraId="7B041524" w14:textId="77777777" w:rsidR="00EB09A5" w:rsidRDefault="00EB09A5" w:rsidP="00EB09A5">
      <w:pPr>
        <w:tabs>
          <w:tab w:val="left" w:pos="360"/>
          <w:tab w:val="left" w:pos="3600"/>
        </w:tabs>
        <w:rPr>
          <w:rFonts w:ascii="Verdana" w:hAnsi="Verdana"/>
          <w:b/>
          <w:bCs/>
          <w:sz w:val="36"/>
          <w:szCs w:val="36"/>
        </w:rPr>
      </w:pPr>
    </w:p>
    <w:p w14:paraId="19189F1C" w14:textId="731B7CE2"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 xml:space="preserve">As you propose attending </w:t>
      </w:r>
      <w:r w:rsidRPr="00680F49">
        <w:rPr>
          <w:rFonts w:ascii="Tenorite" w:hAnsi="Tenorite"/>
          <w:b/>
          <w:bCs/>
          <w:sz w:val="22"/>
          <w:szCs w:val="22"/>
        </w:rPr>
        <w:t xml:space="preserve">ARMA </w:t>
      </w:r>
      <w:proofErr w:type="spellStart"/>
      <w:r w:rsidRPr="00680F49">
        <w:rPr>
          <w:rFonts w:ascii="Tenorite" w:hAnsi="Tenorite"/>
          <w:b/>
          <w:bCs/>
          <w:sz w:val="22"/>
          <w:szCs w:val="22"/>
        </w:rPr>
        <w:t>InfoNEXT</w:t>
      </w:r>
      <w:proofErr w:type="spellEnd"/>
      <w:r w:rsidRPr="00680F49">
        <w:rPr>
          <w:rFonts w:ascii="Tenorite" w:hAnsi="Tenorite"/>
          <w:b/>
          <w:bCs/>
          <w:sz w:val="22"/>
          <w:szCs w:val="22"/>
        </w:rPr>
        <w:t xml:space="preserve"> 2026</w:t>
      </w:r>
      <w:r w:rsidRPr="00680F49">
        <w:rPr>
          <w:rFonts w:ascii="Tenorite" w:hAnsi="Tenorite"/>
          <w:sz w:val="22"/>
          <w:szCs w:val="22"/>
        </w:rPr>
        <w:t xml:space="preserve">, an effective way to gain approval is to emphasize the </w:t>
      </w:r>
      <w:r w:rsidRPr="00680F49">
        <w:rPr>
          <w:rFonts w:ascii="Tenorite" w:hAnsi="Tenorite"/>
          <w:b/>
          <w:bCs/>
          <w:sz w:val="22"/>
          <w:szCs w:val="22"/>
        </w:rPr>
        <w:t>strategic leadership value</w:t>
      </w:r>
      <w:r w:rsidRPr="00680F49">
        <w:rPr>
          <w:rFonts w:ascii="Tenorite" w:hAnsi="Tenorite"/>
          <w:sz w:val="22"/>
          <w:szCs w:val="22"/>
        </w:rPr>
        <w:t xml:space="preserve"> you will bring back to the organization. </w:t>
      </w:r>
      <w:proofErr w:type="spellStart"/>
      <w:r w:rsidRPr="00680F49">
        <w:rPr>
          <w:rFonts w:ascii="Tenorite" w:hAnsi="Tenorite"/>
          <w:sz w:val="22"/>
          <w:szCs w:val="22"/>
        </w:rPr>
        <w:t>InfoNEXT</w:t>
      </w:r>
      <w:proofErr w:type="spellEnd"/>
      <w:r w:rsidRPr="00680F49">
        <w:rPr>
          <w:rFonts w:ascii="Tenorite" w:hAnsi="Tenorite"/>
          <w:sz w:val="22"/>
          <w:szCs w:val="22"/>
        </w:rPr>
        <w:t xml:space="preserve"> is designed for senior-level IG professionals responsible for shaping governance maturity, reducing enterprise risk, supporting compliance, and aligning information management with organizational goals.</w:t>
      </w:r>
    </w:p>
    <w:p w14:paraId="1FB1FE65" w14:textId="77777777" w:rsidR="00680F49" w:rsidRDefault="00680F49" w:rsidP="00680F49">
      <w:pPr>
        <w:tabs>
          <w:tab w:val="left" w:pos="360"/>
          <w:tab w:val="left" w:pos="3600"/>
        </w:tabs>
        <w:rPr>
          <w:rFonts w:ascii="Tenorite" w:hAnsi="Tenorite"/>
          <w:sz w:val="22"/>
          <w:szCs w:val="22"/>
        </w:rPr>
      </w:pPr>
    </w:p>
    <w:p w14:paraId="609CB9BB" w14:textId="0092ED9B"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 xml:space="preserve">Highlight the </w:t>
      </w:r>
      <w:r w:rsidRPr="00680F49">
        <w:rPr>
          <w:rFonts w:ascii="Tenorite" w:hAnsi="Tenorite"/>
          <w:b/>
          <w:bCs/>
          <w:sz w:val="22"/>
          <w:szCs w:val="22"/>
        </w:rPr>
        <w:t>high-impact insights, frameworks, and executive-level discussions</w:t>
      </w:r>
      <w:r w:rsidRPr="00680F49">
        <w:rPr>
          <w:rFonts w:ascii="Tenorite" w:hAnsi="Tenorite"/>
          <w:sz w:val="22"/>
          <w:szCs w:val="22"/>
        </w:rPr>
        <w:t xml:space="preserve"> you will participate in by identifying the specific sessions and themes that support your organization’s priorities.</w:t>
      </w:r>
    </w:p>
    <w:p w14:paraId="65C6FD6F" w14:textId="77777777" w:rsidR="00680F49" w:rsidRDefault="00680F49" w:rsidP="00680F49">
      <w:pPr>
        <w:tabs>
          <w:tab w:val="left" w:pos="360"/>
          <w:tab w:val="left" w:pos="3600"/>
        </w:tabs>
        <w:rPr>
          <w:rFonts w:ascii="Tenorite" w:hAnsi="Tenorite"/>
          <w:sz w:val="22"/>
          <w:szCs w:val="22"/>
        </w:rPr>
      </w:pPr>
    </w:p>
    <w:p w14:paraId="778E27FD" w14:textId="0A792D2E"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Some specific details you may consider include:</w:t>
      </w:r>
    </w:p>
    <w:p w14:paraId="23A11065" w14:textId="77777777" w:rsidR="00680F49" w:rsidRPr="00680F49" w:rsidRDefault="00680F49" w:rsidP="00680F49">
      <w:pPr>
        <w:numPr>
          <w:ilvl w:val="0"/>
          <w:numId w:val="6"/>
        </w:numPr>
        <w:tabs>
          <w:tab w:val="left" w:pos="360"/>
          <w:tab w:val="left" w:pos="3600"/>
        </w:tabs>
        <w:rPr>
          <w:rFonts w:ascii="Tenorite" w:hAnsi="Tenorite"/>
          <w:sz w:val="22"/>
          <w:szCs w:val="22"/>
        </w:rPr>
      </w:pPr>
      <w:r w:rsidRPr="00680F49">
        <w:rPr>
          <w:rFonts w:ascii="Tenorite" w:hAnsi="Tenorite"/>
          <w:b/>
          <w:bCs/>
          <w:sz w:val="22"/>
          <w:szCs w:val="22"/>
        </w:rPr>
        <w:t>Session relevance:</w:t>
      </w:r>
      <w:r w:rsidRPr="00680F49">
        <w:rPr>
          <w:rFonts w:ascii="Tenorite" w:hAnsi="Tenorite"/>
          <w:sz w:val="22"/>
          <w:szCs w:val="22"/>
        </w:rPr>
        <w:t xml:space="preserve"> Which sessions address current challenges, initiatives, or strategic objectives within your organization?</w:t>
      </w:r>
    </w:p>
    <w:p w14:paraId="74FEB35A" w14:textId="77777777" w:rsidR="00680F49" w:rsidRPr="00680F49" w:rsidRDefault="00680F49" w:rsidP="00680F49">
      <w:pPr>
        <w:numPr>
          <w:ilvl w:val="0"/>
          <w:numId w:val="6"/>
        </w:numPr>
        <w:tabs>
          <w:tab w:val="left" w:pos="360"/>
          <w:tab w:val="left" w:pos="3600"/>
        </w:tabs>
        <w:rPr>
          <w:rFonts w:ascii="Tenorite" w:hAnsi="Tenorite"/>
          <w:sz w:val="22"/>
          <w:szCs w:val="22"/>
        </w:rPr>
      </w:pPr>
      <w:r w:rsidRPr="00680F49">
        <w:rPr>
          <w:rFonts w:ascii="Tenorite" w:hAnsi="Tenorite"/>
          <w:b/>
          <w:bCs/>
          <w:sz w:val="22"/>
          <w:szCs w:val="22"/>
        </w:rPr>
        <w:t>Enterprise value:</w:t>
      </w:r>
      <w:r w:rsidRPr="00680F49">
        <w:rPr>
          <w:rFonts w:ascii="Tenorite" w:hAnsi="Tenorite"/>
          <w:sz w:val="22"/>
          <w:szCs w:val="22"/>
        </w:rPr>
        <w:t xml:space="preserve"> Which sessions will deliver practices or frameworks that can be directly applied to strengthen risk posture, compliance, or operational efficiency?</w:t>
      </w:r>
    </w:p>
    <w:p w14:paraId="6A337A88" w14:textId="77777777" w:rsidR="00680F49" w:rsidRPr="00680F49" w:rsidRDefault="00680F49" w:rsidP="00680F49">
      <w:pPr>
        <w:numPr>
          <w:ilvl w:val="0"/>
          <w:numId w:val="6"/>
        </w:numPr>
        <w:tabs>
          <w:tab w:val="left" w:pos="360"/>
          <w:tab w:val="left" w:pos="3600"/>
        </w:tabs>
        <w:rPr>
          <w:rFonts w:ascii="Tenorite" w:hAnsi="Tenorite"/>
          <w:sz w:val="22"/>
          <w:szCs w:val="22"/>
        </w:rPr>
      </w:pPr>
      <w:r w:rsidRPr="00680F49">
        <w:rPr>
          <w:rFonts w:ascii="Tenorite" w:hAnsi="Tenorite"/>
          <w:b/>
          <w:bCs/>
          <w:sz w:val="22"/>
          <w:szCs w:val="22"/>
        </w:rPr>
        <w:t>Leadership &amp; capability development:</w:t>
      </w:r>
      <w:r w:rsidRPr="00680F49">
        <w:rPr>
          <w:rFonts w:ascii="Tenorite" w:hAnsi="Tenorite"/>
          <w:sz w:val="22"/>
          <w:szCs w:val="22"/>
        </w:rPr>
        <w:t xml:space="preserve"> Which sessions will expand your competencies in areas essential to leading or influencing IG transformation?</w:t>
      </w:r>
    </w:p>
    <w:p w14:paraId="6FE0FCA5" w14:textId="77777777" w:rsidR="00680F49" w:rsidRDefault="00680F49" w:rsidP="00680F49">
      <w:pPr>
        <w:tabs>
          <w:tab w:val="left" w:pos="360"/>
          <w:tab w:val="left" w:pos="3600"/>
        </w:tabs>
        <w:rPr>
          <w:rFonts w:ascii="Tenorite" w:hAnsi="Tenorite"/>
          <w:sz w:val="22"/>
          <w:szCs w:val="22"/>
        </w:rPr>
      </w:pPr>
    </w:p>
    <w:p w14:paraId="4EE5F5DE" w14:textId="59904CC8"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 xml:space="preserve">Use this worksheet to help you focus on the benefits of attending </w:t>
      </w:r>
      <w:r w:rsidRPr="00680F49">
        <w:rPr>
          <w:rFonts w:ascii="Tenorite" w:hAnsi="Tenorite"/>
          <w:b/>
          <w:bCs/>
          <w:sz w:val="22"/>
          <w:szCs w:val="22"/>
        </w:rPr>
        <w:t xml:space="preserve">ARMA </w:t>
      </w:r>
      <w:proofErr w:type="spellStart"/>
      <w:r w:rsidRPr="00680F49">
        <w:rPr>
          <w:rFonts w:ascii="Tenorite" w:hAnsi="Tenorite"/>
          <w:b/>
          <w:bCs/>
          <w:sz w:val="22"/>
          <w:szCs w:val="22"/>
        </w:rPr>
        <w:t>InfoNEXT</w:t>
      </w:r>
      <w:proofErr w:type="spellEnd"/>
      <w:r w:rsidRPr="00680F49">
        <w:rPr>
          <w:rFonts w:ascii="Tenorite" w:hAnsi="Tenorite"/>
          <w:b/>
          <w:bCs/>
          <w:sz w:val="22"/>
          <w:szCs w:val="22"/>
        </w:rPr>
        <w:t xml:space="preserve"> 2026</w:t>
      </w:r>
      <w:r w:rsidRPr="00680F49">
        <w:rPr>
          <w:rFonts w:ascii="Tenorite" w:hAnsi="Tenorite"/>
          <w:sz w:val="22"/>
          <w:szCs w:val="22"/>
        </w:rPr>
        <w:t>, with resources and customizable examples included to support your request.</w:t>
      </w:r>
    </w:p>
    <w:p w14:paraId="6658B595" w14:textId="77777777" w:rsidR="00702C82" w:rsidRDefault="00702C82" w:rsidP="00680F49">
      <w:pPr>
        <w:tabs>
          <w:tab w:val="left" w:pos="360"/>
          <w:tab w:val="left" w:pos="3600"/>
        </w:tabs>
        <w:rPr>
          <w:rFonts w:ascii="Tenorite" w:hAnsi="Tenorite"/>
          <w:b/>
          <w:bCs/>
          <w:sz w:val="22"/>
          <w:szCs w:val="22"/>
        </w:rPr>
      </w:pPr>
    </w:p>
    <w:p w14:paraId="67162987" w14:textId="66BFC796" w:rsidR="00680F49" w:rsidRPr="00680F49" w:rsidRDefault="00680F49" w:rsidP="00680F49">
      <w:pPr>
        <w:tabs>
          <w:tab w:val="left" w:pos="360"/>
          <w:tab w:val="left" w:pos="3600"/>
        </w:tabs>
        <w:rPr>
          <w:rFonts w:ascii="Tenorite" w:hAnsi="Tenorite"/>
          <w:b/>
          <w:bCs/>
        </w:rPr>
      </w:pPr>
      <w:r w:rsidRPr="00680F49">
        <w:rPr>
          <w:rFonts w:ascii="Tenorite" w:hAnsi="Tenorite"/>
          <w:b/>
          <w:bCs/>
        </w:rPr>
        <w:t>2026 Conference Theme: Driving IG Transformation</w:t>
      </w:r>
    </w:p>
    <w:p w14:paraId="5843FEC0" w14:textId="77777777"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 xml:space="preserve">This year’s theme, </w:t>
      </w:r>
      <w:r w:rsidRPr="00680F49">
        <w:rPr>
          <w:rFonts w:ascii="Tenorite" w:hAnsi="Tenorite"/>
          <w:b/>
          <w:bCs/>
          <w:sz w:val="22"/>
          <w:szCs w:val="22"/>
        </w:rPr>
        <w:t>Driving IG Transformation</w:t>
      </w:r>
      <w:r w:rsidRPr="00680F49">
        <w:rPr>
          <w:rFonts w:ascii="Tenorite" w:hAnsi="Tenorite"/>
          <w:sz w:val="22"/>
          <w:szCs w:val="22"/>
        </w:rPr>
        <w:t>, centers on equipping IG leaders with the insight, tools, and strategic perspectives needed to lead transformation across the enterprise. The program is built around three interconnected themes that reflect the levels at which IG transformation must occur: the individual leader, the organization, and the profession.</w:t>
      </w:r>
    </w:p>
    <w:p w14:paraId="409AF12D" w14:textId="77777777" w:rsidR="00582267" w:rsidRDefault="00582267" w:rsidP="00582267">
      <w:pPr>
        <w:tabs>
          <w:tab w:val="left" w:pos="360"/>
          <w:tab w:val="left" w:pos="3600"/>
        </w:tabs>
        <w:rPr>
          <w:rFonts w:ascii="Tenorite" w:hAnsi="Tenorite"/>
          <w:sz w:val="22"/>
          <w:szCs w:val="22"/>
        </w:rPr>
      </w:pPr>
    </w:p>
    <w:p w14:paraId="2597E766" w14:textId="5A0024AA" w:rsidR="00582267" w:rsidRDefault="00582267" w:rsidP="00582267">
      <w:pPr>
        <w:tabs>
          <w:tab w:val="left" w:pos="360"/>
          <w:tab w:val="left" w:pos="3600"/>
        </w:tabs>
        <w:rPr>
          <w:rFonts w:ascii="Tenorite" w:hAnsi="Tenorite"/>
          <w:sz w:val="22"/>
          <w:szCs w:val="22"/>
        </w:rPr>
      </w:pPr>
      <w:proofErr w:type="spellStart"/>
      <w:r w:rsidRPr="00582267">
        <w:rPr>
          <w:rFonts w:ascii="Tenorite" w:hAnsi="Tenorite"/>
          <w:sz w:val="22"/>
          <w:szCs w:val="22"/>
        </w:rPr>
        <w:t>Info</w:t>
      </w:r>
      <w:r>
        <w:rPr>
          <w:rFonts w:ascii="Tenorite" w:hAnsi="Tenorite"/>
          <w:sz w:val="22"/>
          <w:szCs w:val="22"/>
        </w:rPr>
        <w:t>NEXT</w:t>
      </w:r>
      <w:proofErr w:type="spellEnd"/>
      <w:r>
        <w:rPr>
          <w:rFonts w:ascii="Tenorite" w:hAnsi="Tenorite"/>
          <w:sz w:val="22"/>
          <w:szCs w:val="22"/>
        </w:rPr>
        <w:t xml:space="preserve"> </w:t>
      </w:r>
      <w:r w:rsidRPr="00582267">
        <w:rPr>
          <w:rFonts w:ascii="Tenorite" w:hAnsi="Tenorite"/>
          <w:sz w:val="22"/>
          <w:szCs w:val="22"/>
        </w:rPr>
        <w:t>202</w:t>
      </w:r>
      <w:r>
        <w:rPr>
          <w:rFonts w:ascii="Tenorite" w:hAnsi="Tenorite"/>
          <w:sz w:val="22"/>
          <w:szCs w:val="22"/>
        </w:rPr>
        <w:t>6</w:t>
      </w:r>
      <w:r w:rsidRPr="00582267">
        <w:rPr>
          <w:rFonts w:ascii="Tenorite" w:hAnsi="Tenorite"/>
          <w:sz w:val="22"/>
          <w:szCs w:val="22"/>
        </w:rPr>
        <w:t xml:space="preserve"> will feature sessions led by industry experts, thought leaders, and practitioners covering the following </w:t>
      </w:r>
      <w:r>
        <w:rPr>
          <w:rFonts w:ascii="Tenorite" w:hAnsi="Tenorite"/>
          <w:sz w:val="22"/>
          <w:szCs w:val="22"/>
        </w:rPr>
        <w:t>key themes:</w:t>
      </w:r>
    </w:p>
    <w:p w14:paraId="48855097" w14:textId="77777777" w:rsidR="00582267" w:rsidRPr="00582267" w:rsidRDefault="00582267" w:rsidP="00582267">
      <w:pPr>
        <w:tabs>
          <w:tab w:val="left" w:pos="360"/>
          <w:tab w:val="left" w:pos="3600"/>
        </w:tabs>
        <w:rPr>
          <w:rFonts w:ascii="Tenorite" w:hAnsi="Tenorite"/>
          <w:sz w:val="22"/>
          <w:szCs w:val="22"/>
        </w:rPr>
      </w:pPr>
    </w:p>
    <w:p w14:paraId="0E600A33" w14:textId="0647ED7F" w:rsidR="00680F49" w:rsidRPr="00680F49" w:rsidRDefault="00680F49" w:rsidP="00680F49">
      <w:pPr>
        <w:tabs>
          <w:tab w:val="left" w:pos="360"/>
          <w:tab w:val="left" w:pos="3600"/>
        </w:tabs>
        <w:rPr>
          <w:rFonts w:ascii="Tenorite" w:hAnsi="Tenorite"/>
          <w:b/>
          <w:bCs/>
          <w:sz w:val="22"/>
          <w:szCs w:val="22"/>
        </w:rPr>
      </w:pPr>
      <w:r w:rsidRPr="00680F49">
        <w:rPr>
          <w:rFonts w:ascii="Tenorite" w:hAnsi="Tenorite"/>
          <w:b/>
          <w:bCs/>
          <w:sz w:val="22"/>
          <w:szCs w:val="22"/>
        </w:rPr>
        <w:t xml:space="preserve">1. </w:t>
      </w:r>
      <w:r w:rsidR="00F32ED0" w:rsidRPr="00680F49">
        <w:rPr>
          <w:rFonts w:ascii="Tenorite" w:hAnsi="Tenorite"/>
          <w:b/>
          <w:bCs/>
          <w:sz w:val="22"/>
          <w:szCs w:val="22"/>
        </w:rPr>
        <w:t>Practice</w:t>
      </w:r>
      <w:r w:rsidRPr="00680F49">
        <w:rPr>
          <w:rFonts w:ascii="Tenorite" w:hAnsi="Tenorite"/>
          <w:b/>
          <w:bCs/>
          <w:sz w:val="22"/>
          <w:szCs w:val="22"/>
        </w:rPr>
        <w:t xml:space="preserve"> of IG</w:t>
      </w:r>
    </w:p>
    <w:p w14:paraId="1573ED31" w14:textId="77777777"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Focused on enhancing the expertise of IG leaders and senior practitioners. Sessions emphasize:</w:t>
      </w:r>
    </w:p>
    <w:p w14:paraId="1B5F4027" w14:textId="77777777" w:rsidR="00680F49" w:rsidRPr="00680F49" w:rsidRDefault="00680F49" w:rsidP="00680F49">
      <w:pPr>
        <w:numPr>
          <w:ilvl w:val="0"/>
          <w:numId w:val="7"/>
        </w:numPr>
        <w:tabs>
          <w:tab w:val="left" w:pos="360"/>
          <w:tab w:val="left" w:pos="3600"/>
        </w:tabs>
        <w:rPr>
          <w:rFonts w:ascii="Tenorite" w:hAnsi="Tenorite"/>
          <w:sz w:val="22"/>
          <w:szCs w:val="22"/>
        </w:rPr>
      </w:pPr>
      <w:r w:rsidRPr="00680F49">
        <w:rPr>
          <w:rFonts w:ascii="Tenorite" w:hAnsi="Tenorite"/>
          <w:sz w:val="22"/>
          <w:szCs w:val="22"/>
        </w:rPr>
        <w:t>Advanced tools, technologies, and data governance methods</w:t>
      </w:r>
    </w:p>
    <w:p w14:paraId="302CD95B" w14:textId="77777777" w:rsidR="00680F49" w:rsidRPr="00680F49" w:rsidRDefault="00680F49" w:rsidP="00680F49">
      <w:pPr>
        <w:numPr>
          <w:ilvl w:val="0"/>
          <w:numId w:val="7"/>
        </w:numPr>
        <w:tabs>
          <w:tab w:val="left" w:pos="360"/>
          <w:tab w:val="left" w:pos="3600"/>
        </w:tabs>
        <w:rPr>
          <w:rFonts w:ascii="Tenorite" w:hAnsi="Tenorite"/>
          <w:sz w:val="22"/>
          <w:szCs w:val="22"/>
        </w:rPr>
      </w:pPr>
      <w:r w:rsidRPr="00680F49">
        <w:rPr>
          <w:rFonts w:ascii="Tenorite" w:hAnsi="Tenorite"/>
          <w:sz w:val="22"/>
          <w:szCs w:val="22"/>
        </w:rPr>
        <w:t>AI use cases and opportunities for IG augmentation</w:t>
      </w:r>
    </w:p>
    <w:p w14:paraId="439B52F2" w14:textId="77777777" w:rsidR="00680F49" w:rsidRPr="00680F49" w:rsidRDefault="00680F49" w:rsidP="00680F49">
      <w:pPr>
        <w:numPr>
          <w:ilvl w:val="0"/>
          <w:numId w:val="7"/>
        </w:numPr>
        <w:tabs>
          <w:tab w:val="left" w:pos="360"/>
          <w:tab w:val="left" w:pos="3600"/>
        </w:tabs>
        <w:rPr>
          <w:rFonts w:ascii="Tenorite" w:hAnsi="Tenorite"/>
          <w:sz w:val="22"/>
          <w:szCs w:val="22"/>
        </w:rPr>
      </w:pPr>
      <w:r w:rsidRPr="00680F49">
        <w:rPr>
          <w:rFonts w:ascii="Tenorite" w:hAnsi="Tenorite"/>
          <w:sz w:val="22"/>
          <w:szCs w:val="22"/>
        </w:rPr>
        <w:t xml:space="preserve">Regulatory shifts </w:t>
      </w:r>
      <w:proofErr w:type="gramStart"/>
      <w:r w:rsidRPr="00680F49">
        <w:rPr>
          <w:rFonts w:ascii="Tenorite" w:hAnsi="Tenorite"/>
          <w:sz w:val="22"/>
          <w:szCs w:val="22"/>
        </w:rPr>
        <w:t>and compliance</w:t>
      </w:r>
      <w:proofErr w:type="gramEnd"/>
      <w:r w:rsidRPr="00680F49">
        <w:rPr>
          <w:rFonts w:ascii="Tenorite" w:hAnsi="Tenorite"/>
          <w:sz w:val="22"/>
          <w:szCs w:val="22"/>
        </w:rPr>
        <w:t xml:space="preserve"> demands</w:t>
      </w:r>
    </w:p>
    <w:p w14:paraId="38C9F46B" w14:textId="77777777" w:rsidR="00680F49" w:rsidRPr="00680F49" w:rsidRDefault="00680F49" w:rsidP="00680F49">
      <w:pPr>
        <w:numPr>
          <w:ilvl w:val="0"/>
          <w:numId w:val="7"/>
        </w:numPr>
        <w:tabs>
          <w:tab w:val="left" w:pos="360"/>
          <w:tab w:val="left" w:pos="3600"/>
        </w:tabs>
        <w:rPr>
          <w:rFonts w:ascii="Tenorite" w:hAnsi="Tenorite"/>
          <w:sz w:val="22"/>
          <w:szCs w:val="22"/>
        </w:rPr>
      </w:pPr>
      <w:r w:rsidRPr="00680F49">
        <w:rPr>
          <w:rFonts w:ascii="Tenorite" w:hAnsi="Tenorite"/>
          <w:sz w:val="22"/>
          <w:szCs w:val="22"/>
        </w:rPr>
        <w:t>Evolving competencies and leadership capabilities</w:t>
      </w:r>
    </w:p>
    <w:p w14:paraId="36B272EE" w14:textId="77777777" w:rsidR="00680F49" w:rsidRPr="00680F49" w:rsidRDefault="00680F49" w:rsidP="00680F49">
      <w:pPr>
        <w:numPr>
          <w:ilvl w:val="0"/>
          <w:numId w:val="7"/>
        </w:numPr>
        <w:tabs>
          <w:tab w:val="left" w:pos="360"/>
          <w:tab w:val="left" w:pos="3600"/>
        </w:tabs>
        <w:rPr>
          <w:rFonts w:ascii="Tenorite" w:hAnsi="Tenorite"/>
          <w:sz w:val="22"/>
          <w:szCs w:val="22"/>
        </w:rPr>
      </w:pPr>
      <w:r w:rsidRPr="00680F49">
        <w:rPr>
          <w:rFonts w:ascii="Tenorite" w:hAnsi="Tenorite"/>
          <w:sz w:val="22"/>
          <w:szCs w:val="22"/>
        </w:rPr>
        <w:t>Best practices for modern, scalable IG program execution</w:t>
      </w:r>
    </w:p>
    <w:p w14:paraId="3F876FAE" w14:textId="77777777" w:rsidR="00F32ED0" w:rsidRDefault="00F32ED0" w:rsidP="00680F49">
      <w:pPr>
        <w:tabs>
          <w:tab w:val="left" w:pos="360"/>
          <w:tab w:val="left" w:pos="3600"/>
        </w:tabs>
        <w:rPr>
          <w:rFonts w:ascii="Tenorite" w:hAnsi="Tenorite"/>
          <w:sz w:val="22"/>
          <w:szCs w:val="22"/>
        </w:rPr>
      </w:pPr>
    </w:p>
    <w:p w14:paraId="76EFE7EE" w14:textId="0CDAC36A"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These sessions help senior leaders sharpen the technical, regulatory, and strategic foundation necessary to advance enterprise information governance.</w:t>
      </w:r>
    </w:p>
    <w:p w14:paraId="6CA17CA3" w14:textId="7914023D" w:rsidR="00680F49" w:rsidRPr="00680F49" w:rsidRDefault="00680F49" w:rsidP="00680F49">
      <w:pPr>
        <w:tabs>
          <w:tab w:val="left" w:pos="360"/>
          <w:tab w:val="left" w:pos="3600"/>
        </w:tabs>
        <w:rPr>
          <w:rFonts w:ascii="Tenorite" w:hAnsi="Tenorite"/>
          <w:sz w:val="22"/>
          <w:szCs w:val="22"/>
        </w:rPr>
      </w:pPr>
    </w:p>
    <w:p w14:paraId="0A3757B4" w14:textId="77777777" w:rsidR="00680F49" w:rsidRPr="00680F49" w:rsidRDefault="00680F49" w:rsidP="00680F49">
      <w:pPr>
        <w:tabs>
          <w:tab w:val="left" w:pos="360"/>
          <w:tab w:val="left" w:pos="3600"/>
        </w:tabs>
        <w:rPr>
          <w:rFonts w:ascii="Tenorite" w:hAnsi="Tenorite"/>
          <w:b/>
          <w:bCs/>
          <w:sz w:val="22"/>
          <w:szCs w:val="22"/>
        </w:rPr>
      </w:pPr>
      <w:r w:rsidRPr="00680F49">
        <w:rPr>
          <w:rFonts w:ascii="Tenorite" w:hAnsi="Tenorite"/>
          <w:b/>
          <w:bCs/>
          <w:sz w:val="22"/>
          <w:szCs w:val="22"/>
        </w:rPr>
        <w:t>2. Championing IG in Your Organization</w:t>
      </w:r>
    </w:p>
    <w:p w14:paraId="082C49D1" w14:textId="77777777"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Designed to support leaders responsible for embedding IG into the culture and operational fabric of an organization. Topics explore:</w:t>
      </w:r>
    </w:p>
    <w:p w14:paraId="26189DF6" w14:textId="77777777" w:rsidR="00680F49" w:rsidRPr="00680F49" w:rsidRDefault="00680F49" w:rsidP="00680F49">
      <w:pPr>
        <w:numPr>
          <w:ilvl w:val="0"/>
          <w:numId w:val="8"/>
        </w:numPr>
        <w:tabs>
          <w:tab w:val="left" w:pos="360"/>
          <w:tab w:val="left" w:pos="3600"/>
        </w:tabs>
        <w:rPr>
          <w:rFonts w:ascii="Tenorite" w:hAnsi="Tenorite"/>
          <w:sz w:val="22"/>
          <w:szCs w:val="22"/>
        </w:rPr>
      </w:pPr>
      <w:r w:rsidRPr="00680F49">
        <w:rPr>
          <w:rFonts w:ascii="Tenorite" w:hAnsi="Tenorite"/>
          <w:sz w:val="22"/>
          <w:szCs w:val="22"/>
        </w:rPr>
        <w:t>Connecting IG outcomes to business impact</w:t>
      </w:r>
    </w:p>
    <w:p w14:paraId="1970A157" w14:textId="77777777" w:rsidR="00680F49" w:rsidRPr="00680F49" w:rsidRDefault="00680F49" w:rsidP="00680F49">
      <w:pPr>
        <w:numPr>
          <w:ilvl w:val="0"/>
          <w:numId w:val="8"/>
        </w:numPr>
        <w:tabs>
          <w:tab w:val="left" w:pos="360"/>
          <w:tab w:val="left" w:pos="3600"/>
        </w:tabs>
        <w:rPr>
          <w:rFonts w:ascii="Tenorite" w:hAnsi="Tenorite"/>
          <w:sz w:val="22"/>
          <w:szCs w:val="22"/>
        </w:rPr>
      </w:pPr>
      <w:r w:rsidRPr="00680F49">
        <w:rPr>
          <w:rFonts w:ascii="Tenorite" w:hAnsi="Tenorite"/>
          <w:sz w:val="22"/>
          <w:szCs w:val="22"/>
        </w:rPr>
        <w:t>Influencing cross-functional alignment and governance adoption</w:t>
      </w:r>
    </w:p>
    <w:p w14:paraId="10EA3836" w14:textId="77777777" w:rsidR="00680F49" w:rsidRPr="00680F49" w:rsidRDefault="00680F49" w:rsidP="00680F49">
      <w:pPr>
        <w:numPr>
          <w:ilvl w:val="0"/>
          <w:numId w:val="8"/>
        </w:numPr>
        <w:tabs>
          <w:tab w:val="left" w:pos="360"/>
          <w:tab w:val="left" w:pos="3600"/>
        </w:tabs>
        <w:rPr>
          <w:rFonts w:ascii="Tenorite" w:hAnsi="Tenorite"/>
          <w:sz w:val="22"/>
          <w:szCs w:val="22"/>
        </w:rPr>
      </w:pPr>
      <w:r w:rsidRPr="00680F49">
        <w:rPr>
          <w:rFonts w:ascii="Tenorite" w:hAnsi="Tenorite"/>
          <w:sz w:val="22"/>
          <w:szCs w:val="22"/>
        </w:rPr>
        <w:t>Driving organizational culture change</w:t>
      </w:r>
    </w:p>
    <w:p w14:paraId="047B2C8A" w14:textId="77777777" w:rsidR="00680F49" w:rsidRPr="00680F49" w:rsidRDefault="00680F49" w:rsidP="00680F49">
      <w:pPr>
        <w:numPr>
          <w:ilvl w:val="0"/>
          <w:numId w:val="8"/>
        </w:numPr>
        <w:tabs>
          <w:tab w:val="left" w:pos="360"/>
          <w:tab w:val="left" w:pos="3600"/>
        </w:tabs>
        <w:rPr>
          <w:rFonts w:ascii="Tenorite" w:hAnsi="Tenorite"/>
          <w:sz w:val="22"/>
          <w:szCs w:val="22"/>
        </w:rPr>
      </w:pPr>
      <w:r w:rsidRPr="00680F49">
        <w:rPr>
          <w:rFonts w:ascii="Tenorite" w:hAnsi="Tenorite"/>
          <w:sz w:val="22"/>
          <w:szCs w:val="22"/>
        </w:rPr>
        <w:t>Leveraging IG to support enterprise strategy, innovation, and risk reduction</w:t>
      </w:r>
    </w:p>
    <w:p w14:paraId="04685119" w14:textId="77777777" w:rsidR="00680F49" w:rsidRPr="00680F49" w:rsidRDefault="00680F49" w:rsidP="00680F49">
      <w:pPr>
        <w:numPr>
          <w:ilvl w:val="0"/>
          <w:numId w:val="8"/>
        </w:numPr>
        <w:tabs>
          <w:tab w:val="left" w:pos="360"/>
          <w:tab w:val="left" w:pos="3600"/>
        </w:tabs>
        <w:rPr>
          <w:rFonts w:ascii="Tenorite" w:hAnsi="Tenorite"/>
          <w:sz w:val="22"/>
          <w:szCs w:val="22"/>
        </w:rPr>
      </w:pPr>
      <w:r w:rsidRPr="00680F49">
        <w:rPr>
          <w:rFonts w:ascii="Tenorite" w:hAnsi="Tenorite"/>
          <w:sz w:val="22"/>
          <w:szCs w:val="22"/>
        </w:rPr>
        <w:lastRenderedPageBreak/>
        <w:t>Leading transformation and managing complex change initiatives</w:t>
      </w:r>
    </w:p>
    <w:p w14:paraId="708A0ECB" w14:textId="77777777" w:rsidR="00F32ED0" w:rsidRDefault="00F32ED0" w:rsidP="00680F49">
      <w:pPr>
        <w:tabs>
          <w:tab w:val="left" w:pos="360"/>
          <w:tab w:val="left" w:pos="3600"/>
        </w:tabs>
        <w:rPr>
          <w:rFonts w:ascii="Tenorite" w:hAnsi="Tenorite"/>
          <w:sz w:val="22"/>
          <w:szCs w:val="22"/>
        </w:rPr>
      </w:pPr>
    </w:p>
    <w:p w14:paraId="30FBF0F1" w14:textId="49D44C90"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These sessions equip leaders with approaches for influencing stakeholders, gaining executive buy-in, and aligning IG work with organizational priorities.</w:t>
      </w:r>
    </w:p>
    <w:p w14:paraId="4C57249E" w14:textId="0FA6C3C4" w:rsidR="00680F49" w:rsidRPr="00680F49" w:rsidRDefault="00680F49" w:rsidP="00680F49">
      <w:pPr>
        <w:tabs>
          <w:tab w:val="left" w:pos="360"/>
          <w:tab w:val="left" w:pos="3600"/>
        </w:tabs>
        <w:rPr>
          <w:rFonts w:ascii="Tenorite" w:hAnsi="Tenorite"/>
          <w:sz w:val="22"/>
          <w:szCs w:val="22"/>
        </w:rPr>
      </w:pPr>
    </w:p>
    <w:p w14:paraId="46249DC9" w14:textId="77777777" w:rsidR="00680F49" w:rsidRPr="00680F49" w:rsidRDefault="00680F49" w:rsidP="00680F49">
      <w:pPr>
        <w:tabs>
          <w:tab w:val="left" w:pos="360"/>
          <w:tab w:val="left" w:pos="3600"/>
        </w:tabs>
        <w:rPr>
          <w:rFonts w:ascii="Tenorite" w:hAnsi="Tenorite"/>
          <w:b/>
          <w:bCs/>
          <w:sz w:val="22"/>
          <w:szCs w:val="22"/>
        </w:rPr>
      </w:pPr>
      <w:r w:rsidRPr="00680F49">
        <w:rPr>
          <w:rFonts w:ascii="Tenorite" w:hAnsi="Tenorite"/>
          <w:b/>
          <w:bCs/>
          <w:sz w:val="22"/>
          <w:szCs w:val="22"/>
        </w:rPr>
        <w:t>3. Advancing the Profession</w:t>
      </w:r>
    </w:p>
    <w:p w14:paraId="05C60070" w14:textId="77777777"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Focuses on understanding and navigating the macro-level forces shaping IG and the future of the profession, including:</w:t>
      </w:r>
    </w:p>
    <w:p w14:paraId="180B890E" w14:textId="77777777" w:rsidR="00680F49" w:rsidRPr="00680F49" w:rsidRDefault="00680F49" w:rsidP="00680F49">
      <w:pPr>
        <w:numPr>
          <w:ilvl w:val="0"/>
          <w:numId w:val="9"/>
        </w:numPr>
        <w:tabs>
          <w:tab w:val="left" w:pos="360"/>
          <w:tab w:val="left" w:pos="3600"/>
        </w:tabs>
        <w:rPr>
          <w:rFonts w:ascii="Tenorite" w:hAnsi="Tenorite"/>
          <w:sz w:val="22"/>
          <w:szCs w:val="22"/>
        </w:rPr>
      </w:pPr>
      <w:r w:rsidRPr="00680F49">
        <w:rPr>
          <w:rFonts w:ascii="Tenorite" w:hAnsi="Tenorite"/>
          <w:sz w:val="22"/>
          <w:szCs w:val="22"/>
        </w:rPr>
        <w:t>Evolving cybersecurity threats</w:t>
      </w:r>
    </w:p>
    <w:p w14:paraId="0D9592B0" w14:textId="77777777" w:rsidR="00680F49" w:rsidRPr="00680F49" w:rsidRDefault="00680F49" w:rsidP="00680F49">
      <w:pPr>
        <w:numPr>
          <w:ilvl w:val="0"/>
          <w:numId w:val="9"/>
        </w:numPr>
        <w:tabs>
          <w:tab w:val="left" w:pos="360"/>
          <w:tab w:val="left" w:pos="3600"/>
        </w:tabs>
        <w:rPr>
          <w:rFonts w:ascii="Tenorite" w:hAnsi="Tenorite"/>
          <w:sz w:val="22"/>
          <w:szCs w:val="22"/>
        </w:rPr>
      </w:pPr>
      <w:r w:rsidRPr="00680F49">
        <w:rPr>
          <w:rFonts w:ascii="Tenorite" w:hAnsi="Tenorite"/>
          <w:sz w:val="22"/>
          <w:szCs w:val="22"/>
        </w:rPr>
        <w:t>Regulatory, geopolitical, and technological disruptions</w:t>
      </w:r>
    </w:p>
    <w:p w14:paraId="3E29310B" w14:textId="77777777" w:rsidR="00680F49" w:rsidRPr="00680F49" w:rsidRDefault="00680F49" w:rsidP="00680F49">
      <w:pPr>
        <w:numPr>
          <w:ilvl w:val="0"/>
          <w:numId w:val="9"/>
        </w:numPr>
        <w:tabs>
          <w:tab w:val="left" w:pos="360"/>
          <w:tab w:val="left" w:pos="3600"/>
        </w:tabs>
        <w:rPr>
          <w:rFonts w:ascii="Tenorite" w:hAnsi="Tenorite"/>
          <w:sz w:val="22"/>
          <w:szCs w:val="22"/>
        </w:rPr>
      </w:pPr>
      <w:r w:rsidRPr="00680F49">
        <w:rPr>
          <w:rFonts w:ascii="Tenorite" w:hAnsi="Tenorite"/>
          <w:sz w:val="22"/>
          <w:szCs w:val="22"/>
        </w:rPr>
        <w:t>Combatting misinformation and disinformation</w:t>
      </w:r>
    </w:p>
    <w:p w14:paraId="4D4B5B4C" w14:textId="77777777" w:rsidR="00680F49" w:rsidRPr="00680F49" w:rsidRDefault="00680F49" w:rsidP="00680F49">
      <w:pPr>
        <w:numPr>
          <w:ilvl w:val="0"/>
          <w:numId w:val="9"/>
        </w:numPr>
        <w:tabs>
          <w:tab w:val="left" w:pos="360"/>
          <w:tab w:val="left" w:pos="3600"/>
        </w:tabs>
        <w:rPr>
          <w:rFonts w:ascii="Tenorite" w:hAnsi="Tenorite"/>
          <w:sz w:val="22"/>
          <w:szCs w:val="22"/>
        </w:rPr>
      </w:pPr>
      <w:r w:rsidRPr="00680F49">
        <w:rPr>
          <w:rFonts w:ascii="Tenorite" w:hAnsi="Tenorite"/>
          <w:sz w:val="22"/>
          <w:szCs w:val="22"/>
        </w:rPr>
        <w:t>IG in government and public-sector environments</w:t>
      </w:r>
    </w:p>
    <w:p w14:paraId="5EFA4674" w14:textId="77777777" w:rsidR="00680F49" w:rsidRPr="00680F49" w:rsidRDefault="00680F49" w:rsidP="00680F49">
      <w:pPr>
        <w:numPr>
          <w:ilvl w:val="0"/>
          <w:numId w:val="9"/>
        </w:numPr>
        <w:tabs>
          <w:tab w:val="left" w:pos="360"/>
          <w:tab w:val="left" w:pos="3600"/>
        </w:tabs>
        <w:rPr>
          <w:rFonts w:ascii="Tenorite" w:hAnsi="Tenorite"/>
          <w:sz w:val="22"/>
          <w:szCs w:val="22"/>
        </w:rPr>
      </w:pPr>
      <w:r w:rsidRPr="00680F49">
        <w:rPr>
          <w:rFonts w:ascii="Tenorite" w:hAnsi="Tenorite"/>
          <w:sz w:val="22"/>
          <w:szCs w:val="22"/>
        </w:rPr>
        <w:t>Future-state technological capabilities and innovation</w:t>
      </w:r>
    </w:p>
    <w:p w14:paraId="26DBF5B8" w14:textId="77777777" w:rsidR="00F32ED0" w:rsidRDefault="00F32ED0" w:rsidP="00680F49">
      <w:pPr>
        <w:tabs>
          <w:tab w:val="left" w:pos="360"/>
          <w:tab w:val="left" w:pos="3600"/>
        </w:tabs>
        <w:rPr>
          <w:rFonts w:ascii="Tenorite" w:hAnsi="Tenorite"/>
          <w:sz w:val="22"/>
          <w:szCs w:val="22"/>
        </w:rPr>
      </w:pPr>
    </w:p>
    <w:p w14:paraId="426DB3CC" w14:textId="7B6683D1" w:rsidR="00680F49" w:rsidRPr="00680F49" w:rsidRDefault="00680F49" w:rsidP="00680F49">
      <w:pPr>
        <w:tabs>
          <w:tab w:val="left" w:pos="360"/>
          <w:tab w:val="left" w:pos="3600"/>
        </w:tabs>
        <w:rPr>
          <w:rFonts w:ascii="Tenorite" w:hAnsi="Tenorite"/>
          <w:sz w:val="22"/>
          <w:szCs w:val="22"/>
        </w:rPr>
      </w:pPr>
      <w:r w:rsidRPr="00680F49">
        <w:rPr>
          <w:rFonts w:ascii="Tenorite" w:hAnsi="Tenorite"/>
          <w:sz w:val="22"/>
          <w:szCs w:val="22"/>
        </w:rPr>
        <w:t>These sessions help leaders anticipate emerging challenges, elevate the profession, and guide their organizations through periods of rapid change.</w:t>
      </w:r>
    </w:p>
    <w:p w14:paraId="1E025256" w14:textId="77777777" w:rsidR="00F647F3" w:rsidRDefault="00F647F3" w:rsidP="00680F49">
      <w:pPr>
        <w:tabs>
          <w:tab w:val="left" w:pos="360"/>
          <w:tab w:val="left" w:pos="3600"/>
        </w:tabs>
        <w:rPr>
          <w:rFonts w:ascii="Segoe UI Emoji" w:hAnsi="Segoe UI Emoji" w:cs="Segoe UI Emoji"/>
          <w:b/>
          <w:bCs/>
          <w:sz w:val="22"/>
          <w:szCs w:val="22"/>
        </w:rPr>
      </w:pPr>
    </w:p>
    <w:p w14:paraId="5D0BB010" w14:textId="3C54D87F" w:rsidR="00680F49" w:rsidRPr="00680F49" w:rsidRDefault="00680F49" w:rsidP="00680F49">
      <w:pPr>
        <w:tabs>
          <w:tab w:val="left" w:pos="360"/>
          <w:tab w:val="left" w:pos="3600"/>
        </w:tabs>
        <w:rPr>
          <w:rFonts w:ascii="Tenorite" w:hAnsi="Tenorite"/>
          <w:sz w:val="22"/>
          <w:szCs w:val="22"/>
        </w:rPr>
      </w:pPr>
      <w:proofErr w:type="spellStart"/>
      <w:r w:rsidRPr="00680F49">
        <w:rPr>
          <w:rFonts w:ascii="Tenorite" w:hAnsi="Tenorite"/>
          <w:sz w:val="22"/>
          <w:szCs w:val="22"/>
        </w:rPr>
        <w:t>InfoNEXT</w:t>
      </w:r>
      <w:proofErr w:type="spellEnd"/>
      <w:r w:rsidRPr="00680F49">
        <w:rPr>
          <w:rFonts w:ascii="Tenorite" w:hAnsi="Tenorite"/>
          <w:sz w:val="22"/>
          <w:szCs w:val="22"/>
        </w:rPr>
        <w:t xml:space="preserve"> 2026 will feature sessions aligned with the strategic needs of modern IG leadership, including:</w:t>
      </w:r>
    </w:p>
    <w:p w14:paraId="246E46F5"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Microsoft Purview/365 implementation strategies</w:t>
      </w:r>
    </w:p>
    <w:p w14:paraId="35A4E31F"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AI as an IG tool, with real enterprise use cases</w:t>
      </w:r>
    </w:p>
    <w:p w14:paraId="11A9E5FF"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IG’s connection to business imperatives such as M&amp;A, global operations, innovation, and corporate affairs</w:t>
      </w:r>
    </w:p>
    <w:p w14:paraId="3DE910EC"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Data minimization and enterprise risk reduction</w:t>
      </w:r>
    </w:p>
    <w:p w14:paraId="313B0ACC"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 xml:space="preserve">Governance of structured data across </w:t>
      </w:r>
      <w:proofErr w:type="gramStart"/>
      <w:r w:rsidRPr="00680F49">
        <w:rPr>
          <w:rFonts w:ascii="Tenorite" w:hAnsi="Tenorite"/>
          <w:sz w:val="22"/>
          <w:szCs w:val="22"/>
        </w:rPr>
        <w:t>systems-of-record</w:t>
      </w:r>
      <w:proofErr w:type="gramEnd"/>
      <w:r w:rsidRPr="00680F49">
        <w:rPr>
          <w:rFonts w:ascii="Tenorite" w:hAnsi="Tenorite"/>
          <w:sz w:val="22"/>
          <w:szCs w:val="22"/>
        </w:rPr>
        <w:t xml:space="preserve"> (Salesforce, SAP, etc.)</w:t>
      </w:r>
    </w:p>
    <w:p w14:paraId="4119FE83"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Emerging cybersecurity threats and defense strategies</w:t>
      </w:r>
    </w:p>
    <w:p w14:paraId="1D45CF98"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Future technologies and “over-the-horizon” capabilities</w:t>
      </w:r>
    </w:p>
    <w:p w14:paraId="1A39B231"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IG for government entities and organizations supporting government work</w:t>
      </w:r>
    </w:p>
    <w:p w14:paraId="3275CF94"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IG’s role in truth, trust, and combatting misinformation</w:t>
      </w:r>
    </w:p>
    <w:p w14:paraId="6CA92912"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 xml:space="preserve">Influencing organizational culture and leading </w:t>
      </w:r>
      <w:proofErr w:type="gramStart"/>
      <w:r w:rsidRPr="00680F49">
        <w:rPr>
          <w:rFonts w:ascii="Tenorite" w:hAnsi="Tenorite"/>
          <w:sz w:val="22"/>
          <w:szCs w:val="22"/>
        </w:rPr>
        <w:t>complex</w:t>
      </w:r>
      <w:proofErr w:type="gramEnd"/>
      <w:r w:rsidRPr="00680F49">
        <w:rPr>
          <w:rFonts w:ascii="Tenorite" w:hAnsi="Tenorite"/>
          <w:sz w:val="22"/>
          <w:szCs w:val="22"/>
        </w:rPr>
        <w:t xml:space="preserve"> </w:t>
      </w:r>
      <w:proofErr w:type="gramStart"/>
      <w:r w:rsidRPr="00680F49">
        <w:rPr>
          <w:rFonts w:ascii="Tenorite" w:hAnsi="Tenorite"/>
          <w:sz w:val="22"/>
          <w:szCs w:val="22"/>
        </w:rPr>
        <w:t>change</w:t>
      </w:r>
      <w:proofErr w:type="gramEnd"/>
    </w:p>
    <w:p w14:paraId="30997C3E" w14:textId="77777777" w:rsidR="00680F49" w:rsidRPr="00680F49" w:rsidRDefault="00680F49" w:rsidP="00680F49">
      <w:pPr>
        <w:numPr>
          <w:ilvl w:val="0"/>
          <w:numId w:val="10"/>
        </w:numPr>
        <w:tabs>
          <w:tab w:val="left" w:pos="360"/>
          <w:tab w:val="left" w:pos="3600"/>
        </w:tabs>
        <w:rPr>
          <w:rFonts w:ascii="Tenorite" w:hAnsi="Tenorite"/>
          <w:sz w:val="22"/>
          <w:szCs w:val="22"/>
        </w:rPr>
      </w:pPr>
      <w:r w:rsidRPr="00680F49">
        <w:rPr>
          <w:rFonts w:ascii="Tenorite" w:hAnsi="Tenorite"/>
          <w:sz w:val="22"/>
          <w:szCs w:val="22"/>
        </w:rPr>
        <w:t>Challenging existing models to transform IG at scale</w:t>
      </w:r>
    </w:p>
    <w:p w14:paraId="23F28B6D" w14:textId="3D102AD3" w:rsidR="00EB09A5" w:rsidRPr="00647F92" w:rsidRDefault="00EB09A5" w:rsidP="00647F92">
      <w:pPr>
        <w:tabs>
          <w:tab w:val="left" w:pos="360"/>
          <w:tab w:val="left" w:pos="3600"/>
        </w:tabs>
        <w:rPr>
          <w:rFonts w:ascii="Tenorite" w:hAnsi="Tenorite"/>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6680"/>
      </w:tblGrid>
      <w:tr w:rsidR="00266634" w14:paraId="699EEE74" w14:textId="77777777" w:rsidTr="00EB3771">
        <w:trPr>
          <w:trHeight w:val="360"/>
          <w:jc w:val="center"/>
        </w:trPr>
        <w:tc>
          <w:tcPr>
            <w:tcW w:w="4480" w:type="dxa"/>
            <w:shd w:val="clear" w:color="000000" w:fill="0B3857"/>
            <w:vAlign w:val="center"/>
            <w:hideMark/>
          </w:tcPr>
          <w:p w14:paraId="1A4E8C42" w14:textId="77777777" w:rsidR="00266634" w:rsidRDefault="00266634">
            <w:pPr>
              <w:rPr>
                <w:rFonts w:ascii="Tenorite" w:hAnsi="Tenorite"/>
                <w:b/>
                <w:bCs/>
                <w:color w:val="FFFFFF"/>
                <w:sz w:val="26"/>
                <w:szCs w:val="26"/>
              </w:rPr>
            </w:pPr>
            <w:bookmarkStart w:id="0" w:name="RANGE!A1:B10"/>
            <w:r>
              <w:rPr>
                <w:rFonts w:ascii="Tenorite" w:hAnsi="Tenorite"/>
                <w:b/>
                <w:bCs/>
                <w:color w:val="FFFFFF"/>
                <w:sz w:val="26"/>
                <w:szCs w:val="26"/>
              </w:rPr>
              <w:t>Benefits to Your Organization</w:t>
            </w:r>
            <w:bookmarkEnd w:id="0"/>
          </w:p>
        </w:tc>
        <w:tc>
          <w:tcPr>
            <w:tcW w:w="6680" w:type="dxa"/>
            <w:shd w:val="clear" w:color="000000" w:fill="0B3857"/>
            <w:vAlign w:val="center"/>
            <w:hideMark/>
          </w:tcPr>
          <w:p w14:paraId="52678D27" w14:textId="6EC1A6F8" w:rsidR="00266634" w:rsidRDefault="00266634">
            <w:pPr>
              <w:jc w:val="center"/>
              <w:rPr>
                <w:rFonts w:ascii="Tenorite" w:hAnsi="Tenorite"/>
                <w:b/>
                <w:bCs/>
                <w:color w:val="FFFFFF"/>
                <w:sz w:val="26"/>
                <w:szCs w:val="26"/>
              </w:rPr>
            </w:pPr>
            <w:r>
              <w:rPr>
                <w:rFonts w:ascii="Tenorite" w:hAnsi="Tenorite"/>
                <w:b/>
                <w:bCs/>
                <w:color w:val="FFFFFF"/>
                <w:sz w:val="26"/>
                <w:szCs w:val="26"/>
              </w:rPr>
              <w:t xml:space="preserve">How ARMA </w:t>
            </w:r>
            <w:proofErr w:type="spellStart"/>
            <w:r>
              <w:rPr>
                <w:rFonts w:ascii="Tenorite" w:hAnsi="Tenorite"/>
                <w:b/>
                <w:bCs/>
                <w:color w:val="FFFFFF"/>
                <w:sz w:val="26"/>
                <w:szCs w:val="26"/>
              </w:rPr>
              <w:t>Info</w:t>
            </w:r>
            <w:r w:rsidR="008018A0">
              <w:rPr>
                <w:rFonts w:ascii="Tenorite" w:hAnsi="Tenorite"/>
                <w:b/>
                <w:bCs/>
                <w:color w:val="FFFFFF"/>
                <w:sz w:val="26"/>
                <w:szCs w:val="26"/>
              </w:rPr>
              <w:t>NEXT</w:t>
            </w:r>
            <w:proofErr w:type="spellEnd"/>
            <w:r>
              <w:rPr>
                <w:rFonts w:ascii="Tenorite" w:hAnsi="Tenorite"/>
                <w:b/>
                <w:bCs/>
                <w:color w:val="FFFFFF"/>
                <w:sz w:val="26"/>
                <w:szCs w:val="26"/>
              </w:rPr>
              <w:t xml:space="preserve"> 202</w:t>
            </w:r>
            <w:r w:rsidR="008018A0">
              <w:rPr>
                <w:rFonts w:ascii="Tenorite" w:hAnsi="Tenorite"/>
                <w:b/>
                <w:bCs/>
                <w:color w:val="FFFFFF"/>
                <w:sz w:val="26"/>
                <w:szCs w:val="26"/>
              </w:rPr>
              <w:t>6</w:t>
            </w:r>
            <w:r>
              <w:rPr>
                <w:rFonts w:ascii="Tenorite" w:hAnsi="Tenorite"/>
                <w:b/>
                <w:bCs/>
                <w:color w:val="FFFFFF"/>
                <w:sz w:val="26"/>
                <w:szCs w:val="26"/>
              </w:rPr>
              <w:t xml:space="preserve"> Provides Those Benefits</w:t>
            </w:r>
          </w:p>
        </w:tc>
      </w:tr>
      <w:tr w:rsidR="00266634" w14:paraId="703DCBF7" w14:textId="77777777" w:rsidTr="00EB3771">
        <w:trPr>
          <w:trHeight w:val="827"/>
          <w:jc w:val="center"/>
        </w:trPr>
        <w:tc>
          <w:tcPr>
            <w:tcW w:w="4480" w:type="dxa"/>
            <w:vAlign w:val="center"/>
            <w:hideMark/>
          </w:tcPr>
          <w:p w14:paraId="112EB774" w14:textId="77777777" w:rsidR="00266634" w:rsidRDefault="00266634" w:rsidP="00266634">
            <w:pPr>
              <w:rPr>
                <w:rFonts w:ascii="Tenorite" w:hAnsi="Tenorite"/>
                <w:b/>
                <w:bCs/>
                <w:color w:val="000000"/>
                <w:sz w:val="22"/>
                <w:szCs w:val="22"/>
              </w:rPr>
            </w:pPr>
            <w:r>
              <w:rPr>
                <w:rFonts w:ascii="Tenorite" w:hAnsi="Tenorite"/>
                <w:b/>
                <w:bCs/>
                <w:color w:val="000000"/>
                <w:sz w:val="22"/>
                <w:szCs w:val="22"/>
              </w:rPr>
              <w:t>Networking Benefits</w:t>
            </w:r>
          </w:p>
        </w:tc>
        <w:tc>
          <w:tcPr>
            <w:tcW w:w="6680" w:type="dxa"/>
            <w:vAlign w:val="center"/>
            <w:hideMark/>
          </w:tcPr>
          <w:p w14:paraId="4840926A" w14:textId="635BA549" w:rsidR="00266634" w:rsidRDefault="00266634">
            <w:pPr>
              <w:rPr>
                <w:rFonts w:ascii="Tenorite" w:hAnsi="Tenorite"/>
                <w:color w:val="000000"/>
                <w:sz w:val="22"/>
                <w:szCs w:val="22"/>
              </w:rPr>
            </w:pPr>
            <w:r>
              <w:rPr>
                <w:rFonts w:ascii="Tenorite" w:hAnsi="Tenorite"/>
                <w:color w:val="000000"/>
                <w:sz w:val="22"/>
                <w:szCs w:val="22"/>
              </w:rPr>
              <w:t xml:space="preserve">ARMA </w:t>
            </w:r>
            <w:proofErr w:type="spellStart"/>
            <w:r>
              <w:rPr>
                <w:rFonts w:ascii="Tenorite" w:hAnsi="Tenorite"/>
                <w:color w:val="000000"/>
                <w:sz w:val="22"/>
                <w:szCs w:val="22"/>
              </w:rPr>
              <w:t>Info</w:t>
            </w:r>
            <w:r w:rsidR="008018A0">
              <w:rPr>
                <w:rFonts w:ascii="Tenorite" w:hAnsi="Tenorite"/>
                <w:color w:val="000000"/>
                <w:sz w:val="22"/>
                <w:szCs w:val="22"/>
              </w:rPr>
              <w:t>NEXT</w:t>
            </w:r>
            <w:proofErr w:type="spellEnd"/>
            <w:r w:rsidR="008018A0">
              <w:rPr>
                <w:rFonts w:ascii="Tenorite" w:hAnsi="Tenorite"/>
                <w:color w:val="000000"/>
                <w:sz w:val="22"/>
                <w:szCs w:val="22"/>
              </w:rPr>
              <w:t xml:space="preserve"> 2026</w:t>
            </w:r>
            <w:r>
              <w:rPr>
                <w:rFonts w:ascii="Tenorite" w:hAnsi="Tenorite"/>
                <w:color w:val="000000"/>
                <w:sz w:val="22"/>
                <w:szCs w:val="22"/>
              </w:rPr>
              <w:t xml:space="preserve"> will allow </w:t>
            </w:r>
            <w:r w:rsidR="00520D26" w:rsidRPr="00520D26">
              <w:rPr>
                <w:rFonts w:ascii="Tenorite" w:hAnsi="Tenorite"/>
                <w:sz w:val="22"/>
                <w:szCs w:val="22"/>
              </w:rPr>
              <w:t>me</w:t>
            </w:r>
            <w:r>
              <w:rPr>
                <w:rFonts w:ascii="Tenorite" w:hAnsi="Tenorite"/>
                <w:b/>
                <w:bCs/>
                <w:color w:val="C0504D"/>
                <w:sz w:val="22"/>
                <w:szCs w:val="22"/>
              </w:rPr>
              <w:t xml:space="preserve"> </w:t>
            </w:r>
            <w:r>
              <w:rPr>
                <w:rFonts w:ascii="Tenorite" w:hAnsi="Tenorite"/>
                <w:color w:val="000000"/>
                <w:sz w:val="22"/>
                <w:szCs w:val="22"/>
              </w:rPr>
              <w:t xml:space="preserve">to network with other professionals and vendors across the industry. </w:t>
            </w:r>
            <w:r w:rsidR="00520D26" w:rsidRPr="00520D26">
              <w:rPr>
                <w:rFonts w:ascii="Tenorite" w:hAnsi="Tenorite"/>
                <w:color w:val="000000"/>
                <w:sz w:val="22"/>
                <w:szCs w:val="22"/>
              </w:rPr>
              <w:t xml:space="preserve">I will learn about the latest </w:t>
            </w:r>
            <w:r w:rsidR="00E616B7" w:rsidRPr="00E616B7">
              <w:rPr>
                <w:rFonts w:ascii="Tenorite" w:hAnsi="Tenorite"/>
                <w:color w:val="000000"/>
                <w:sz w:val="22"/>
                <w:szCs w:val="22"/>
              </w:rPr>
              <w:t xml:space="preserve">technologies, best practices, and trends in </w:t>
            </w:r>
            <w:r w:rsidR="00E616B7">
              <w:rPr>
                <w:rFonts w:ascii="Tenorite" w:hAnsi="Tenorite"/>
                <w:color w:val="000000"/>
                <w:sz w:val="22"/>
                <w:szCs w:val="22"/>
              </w:rPr>
              <w:t>information governance</w:t>
            </w:r>
            <w:r w:rsidR="00E616B7" w:rsidRPr="00E616B7">
              <w:rPr>
                <w:rFonts w:ascii="Tenorite" w:hAnsi="Tenorite"/>
                <w:color w:val="000000"/>
                <w:sz w:val="22"/>
                <w:szCs w:val="22"/>
              </w:rPr>
              <w:t xml:space="preserve"> </w:t>
            </w:r>
            <w:r w:rsidR="00520D26" w:rsidRPr="00520D26">
              <w:rPr>
                <w:rFonts w:ascii="Tenorite" w:hAnsi="Tenorite"/>
                <w:color w:val="000000"/>
                <w:sz w:val="22"/>
                <w:szCs w:val="22"/>
              </w:rPr>
              <w:t xml:space="preserve">and hear new ideas and </w:t>
            </w:r>
            <w:r w:rsidR="00E616B7">
              <w:rPr>
                <w:rFonts w:ascii="Tenorite" w:hAnsi="Tenorite"/>
                <w:color w:val="000000"/>
                <w:sz w:val="22"/>
                <w:szCs w:val="22"/>
              </w:rPr>
              <w:t>resources</w:t>
            </w:r>
            <w:r w:rsidR="00520D26" w:rsidRPr="00520D26">
              <w:rPr>
                <w:rFonts w:ascii="Tenorite" w:hAnsi="Tenorite"/>
                <w:color w:val="000000"/>
                <w:sz w:val="22"/>
                <w:szCs w:val="22"/>
              </w:rPr>
              <w:t>.</w:t>
            </w:r>
          </w:p>
        </w:tc>
      </w:tr>
      <w:tr w:rsidR="00266634" w14:paraId="6911026A" w14:textId="77777777" w:rsidTr="00EB3771">
        <w:trPr>
          <w:trHeight w:val="566"/>
          <w:jc w:val="center"/>
        </w:trPr>
        <w:tc>
          <w:tcPr>
            <w:tcW w:w="4480" w:type="dxa"/>
            <w:vAlign w:val="center"/>
            <w:hideMark/>
          </w:tcPr>
          <w:p w14:paraId="0DC6AC4F" w14:textId="31A9BE21" w:rsidR="00266634" w:rsidRDefault="00266634" w:rsidP="00266634">
            <w:pPr>
              <w:rPr>
                <w:rFonts w:ascii="Tenorite" w:hAnsi="Tenorite"/>
                <w:b/>
                <w:bCs/>
                <w:color w:val="000000"/>
                <w:sz w:val="22"/>
                <w:szCs w:val="22"/>
              </w:rPr>
            </w:pPr>
            <w:r>
              <w:rPr>
                <w:rFonts w:ascii="Tenorite" w:hAnsi="Tenorite"/>
                <w:b/>
                <w:bCs/>
                <w:color w:val="000000"/>
                <w:sz w:val="22"/>
                <w:szCs w:val="22"/>
              </w:rPr>
              <w:t xml:space="preserve">Teambuilding </w:t>
            </w:r>
            <w:r w:rsidR="00EB3771">
              <w:rPr>
                <w:rFonts w:ascii="Tenorite" w:hAnsi="Tenorite"/>
                <w:b/>
                <w:bCs/>
                <w:color w:val="000000"/>
                <w:sz w:val="22"/>
                <w:szCs w:val="22"/>
              </w:rPr>
              <w:br/>
            </w:r>
            <w:r w:rsidRPr="00266634">
              <w:rPr>
                <w:rFonts w:ascii="Tenorite" w:hAnsi="Tenorite"/>
                <w:i/>
                <w:iCs/>
                <w:color w:val="000000"/>
                <w:sz w:val="22"/>
                <w:szCs w:val="22"/>
              </w:rPr>
              <w:t>(if sending multiple members of your team)</w:t>
            </w:r>
          </w:p>
        </w:tc>
        <w:tc>
          <w:tcPr>
            <w:tcW w:w="6680" w:type="dxa"/>
            <w:vAlign w:val="center"/>
            <w:hideMark/>
          </w:tcPr>
          <w:p w14:paraId="19CD03A1" w14:textId="27295D3F" w:rsidR="00266634" w:rsidRDefault="00266634">
            <w:pPr>
              <w:rPr>
                <w:rFonts w:ascii="Tenorite" w:hAnsi="Tenorite"/>
                <w:color w:val="000000"/>
                <w:sz w:val="22"/>
                <w:szCs w:val="22"/>
              </w:rPr>
            </w:pPr>
            <w:r>
              <w:rPr>
                <w:rFonts w:ascii="Tenorite" w:hAnsi="Tenorite"/>
                <w:color w:val="000000"/>
                <w:sz w:val="22"/>
                <w:szCs w:val="22"/>
              </w:rPr>
              <w:t xml:space="preserve">ARMA </w:t>
            </w:r>
            <w:proofErr w:type="spellStart"/>
            <w:r w:rsidR="008018A0">
              <w:rPr>
                <w:rFonts w:ascii="Tenorite" w:hAnsi="Tenorite"/>
                <w:color w:val="000000"/>
                <w:sz w:val="22"/>
                <w:szCs w:val="22"/>
              </w:rPr>
              <w:t>InfoNEXT</w:t>
            </w:r>
            <w:proofErr w:type="spellEnd"/>
            <w:r w:rsidR="008018A0">
              <w:rPr>
                <w:rFonts w:ascii="Tenorite" w:hAnsi="Tenorite"/>
                <w:color w:val="000000"/>
                <w:sz w:val="22"/>
                <w:szCs w:val="22"/>
              </w:rPr>
              <w:t xml:space="preserve"> 2026</w:t>
            </w:r>
            <w:r>
              <w:rPr>
                <w:rFonts w:ascii="Tenorite" w:hAnsi="Tenorite"/>
                <w:color w:val="000000"/>
                <w:sz w:val="22"/>
                <w:szCs w:val="22"/>
              </w:rPr>
              <w:t xml:space="preserve"> will help build our team, providing a forum for team members to discuss tools, technologies, and </w:t>
            </w:r>
            <w:r w:rsidR="00E616B7">
              <w:rPr>
                <w:rFonts w:ascii="Tenorite" w:hAnsi="Tenorite"/>
                <w:color w:val="000000"/>
                <w:sz w:val="22"/>
                <w:szCs w:val="22"/>
              </w:rPr>
              <w:t>processes</w:t>
            </w:r>
            <w:r>
              <w:rPr>
                <w:rFonts w:ascii="Tenorite" w:hAnsi="Tenorite"/>
                <w:color w:val="000000"/>
                <w:sz w:val="22"/>
                <w:szCs w:val="22"/>
              </w:rPr>
              <w:t xml:space="preserve"> and how we might apply them to improve our processes and workflow. </w:t>
            </w:r>
          </w:p>
        </w:tc>
      </w:tr>
      <w:tr w:rsidR="00402C92" w14:paraId="459D9238" w14:textId="77777777" w:rsidTr="00EB3771">
        <w:trPr>
          <w:trHeight w:val="560"/>
          <w:jc w:val="center"/>
        </w:trPr>
        <w:tc>
          <w:tcPr>
            <w:tcW w:w="4480" w:type="dxa"/>
            <w:vAlign w:val="center"/>
          </w:tcPr>
          <w:p w14:paraId="04A6946B" w14:textId="1C741882" w:rsidR="00402C92" w:rsidRDefault="00402C92" w:rsidP="00402C92">
            <w:pPr>
              <w:rPr>
                <w:rFonts w:ascii="Tenorite" w:hAnsi="Tenorite"/>
                <w:b/>
                <w:bCs/>
                <w:color w:val="000000"/>
                <w:sz w:val="22"/>
                <w:szCs w:val="22"/>
              </w:rPr>
            </w:pPr>
            <w:r>
              <w:rPr>
                <w:rFonts w:ascii="Tenorite" w:hAnsi="Tenorite"/>
                <w:b/>
                <w:bCs/>
                <w:color w:val="000000"/>
                <w:sz w:val="22"/>
                <w:szCs w:val="22"/>
              </w:rPr>
              <w:t>Current Processes</w:t>
            </w:r>
          </w:p>
        </w:tc>
        <w:tc>
          <w:tcPr>
            <w:tcW w:w="6680" w:type="dxa"/>
            <w:vAlign w:val="center"/>
          </w:tcPr>
          <w:p w14:paraId="2CDCE26F" w14:textId="77777777" w:rsidR="00402C92" w:rsidRDefault="00402C92" w:rsidP="00402C92">
            <w:pPr>
              <w:jc w:val="both"/>
              <w:rPr>
                <w:rFonts w:ascii="Tenorite" w:hAnsi="Tenorite"/>
                <w:sz w:val="22"/>
                <w:szCs w:val="22"/>
              </w:rPr>
            </w:pPr>
            <w:r w:rsidRPr="00DC4406">
              <w:rPr>
                <w:rFonts w:ascii="Tenorite" w:hAnsi="Tenorite"/>
                <w:sz w:val="22"/>
                <w:szCs w:val="22"/>
              </w:rPr>
              <w:t xml:space="preserve">Look for sessions </w:t>
            </w:r>
            <w:r>
              <w:rPr>
                <w:rFonts w:ascii="Tenorite" w:hAnsi="Tenorite"/>
                <w:sz w:val="22"/>
                <w:szCs w:val="22"/>
              </w:rPr>
              <w:t>that share research into current best practices</w:t>
            </w:r>
            <w:r w:rsidRPr="00520D26">
              <w:rPr>
                <w:rFonts w:ascii="Tenorite" w:hAnsi="Tenorite"/>
                <w:sz w:val="22"/>
                <w:szCs w:val="22"/>
              </w:rPr>
              <w:t xml:space="preserve"> </w:t>
            </w:r>
            <w:r>
              <w:rPr>
                <w:rFonts w:ascii="Tenorite" w:hAnsi="Tenorite"/>
                <w:sz w:val="22"/>
                <w:szCs w:val="22"/>
              </w:rPr>
              <w:t>to help you</w:t>
            </w:r>
            <w:r w:rsidRPr="00520D26">
              <w:rPr>
                <w:rFonts w:ascii="Tenorite" w:hAnsi="Tenorite"/>
                <w:sz w:val="22"/>
                <w:szCs w:val="22"/>
              </w:rPr>
              <w:t xml:space="preserve"> identify ways to improve </w:t>
            </w:r>
            <w:r>
              <w:rPr>
                <w:rFonts w:ascii="Tenorite" w:hAnsi="Tenorite"/>
                <w:sz w:val="22"/>
                <w:szCs w:val="22"/>
              </w:rPr>
              <w:t>what is</w:t>
            </w:r>
            <w:r w:rsidRPr="00520D26">
              <w:rPr>
                <w:rFonts w:ascii="Tenorite" w:hAnsi="Tenorite"/>
                <w:sz w:val="22"/>
                <w:szCs w:val="22"/>
              </w:rPr>
              <w:t xml:space="preserve"> already in place</w:t>
            </w:r>
            <w:r w:rsidRPr="00DC4406">
              <w:rPr>
                <w:rFonts w:ascii="Tenorite" w:hAnsi="Tenorite"/>
                <w:sz w:val="22"/>
                <w:szCs w:val="22"/>
              </w:rPr>
              <w:t>.</w:t>
            </w:r>
          </w:p>
          <w:p w14:paraId="30E7806F" w14:textId="77777777" w:rsidR="00402C92" w:rsidRDefault="00402C92" w:rsidP="00402C92">
            <w:pPr>
              <w:rPr>
                <w:rFonts w:ascii="Tenorite" w:hAnsi="Tenorite"/>
                <w:sz w:val="22"/>
                <w:szCs w:val="22"/>
              </w:rPr>
            </w:pPr>
            <w:r>
              <w:rPr>
                <w:rFonts w:ascii="Tenorite" w:hAnsi="Tenorite"/>
                <w:sz w:val="22"/>
                <w:szCs w:val="22"/>
              </w:rPr>
              <w:t>1.</w:t>
            </w:r>
          </w:p>
          <w:p w14:paraId="633DFA8C" w14:textId="77777777" w:rsidR="00402C92" w:rsidRDefault="00402C92" w:rsidP="00402C92">
            <w:pPr>
              <w:rPr>
                <w:rFonts w:ascii="Tenorite" w:hAnsi="Tenorite"/>
                <w:sz w:val="22"/>
                <w:szCs w:val="22"/>
              </w:rPr>
            </w:pPr>
            <w:r>
              <w:rPr>
                <w:rFonts w:ascii="Tenorite" w:hAnsi="Tenorite"/>
                <w:sz w:val="22"/>
                <w:szCs w:val="22"/>
              </w:rPr>
              <w:t>2.</w:t>
            </w:r>
          </w:p>
          <w:p w14:paraId="05987A6E" w14:textId="2FEB49C7" w:rsidR="00402C92" w:rsidRPr="00DC4406" w:rsidRDefault="00402C92" w:rsidP="00402C92">
            <w:pPr>
              <w:rPr>
                <w:rFonts w:ascii="Tenorite" w:hAnsi="Tenorite"/>
                <w:sz w:val="22"/>
                <w:szCs w:val="22"/>
              </w:rPr>
            </w:pPr>
            <w:r>
              <w:rPr>
                <w:rFonts w:ascii="Tenorite" w:hAnsi="Tenorite"/>
                <w:sz w:val="22"/>
                <w:szCs w:val="22"/>
              </w:rPr>
              <w:t>3.</w:t>
            </w:r>
          </w:p>
        </w:tc>
      </w:tr>
      <w:tr w:rsidR="00402C92" w14:paraId="0A5F5EF6" w14:textId="77777777" w:rsidTr="00EB3771">
        <w:trPr>
          <w:trHeight w:val="560"/>
          <w:jc w:val="center"/>
        </w:trPr>
        <w:tc>
          <w:tcPr>
            <w:tcW w:w="4480" w:type="dxa"/>
            <w:vAlign w:val="center"/>
          </w:tcPr>
          <w:p w14:paraId="323EE020" w14:textId="2518818F" w:rsidR="00402C92" w:rsidRDefault="00402C92" w:rsidP="00402C92">
            <w:pPr>
              <w:rPr>
                <w:rFonts w:ascii="Tenorite" w:hAnsi="Tenorite"/>
                <w:b/>
                <w:bCs/>
                <w:color w:val="000000"/>
                <w:sz w:val="22"/>
                <w:szCs w:val="22"/>
              </w:rPr>
            </w:pPr>
            <w:r>
              <w:rPr>
                <w:rFonts w:ascii="Tenorite" w:hAnsi="Tenorite"/>
                <w:b/>
                <w:bCs/>
                <w:color w:val="000000"/>
                <w:sz w:val="22"/>
                <w:szCs w:val="22"/>
              </w:rPr>
              <w:t>Future Process Exploration</w:t>
            </w:r>
          </w:p>
        </w:tc>
        <w:tc>
          <w:tcPr>
            <w:tcW w:w="6680" w:type="dxa"/>
            <w:vAlign w:val="center"/>
          </w:tcPr>
          <w:p w14:paraId="382F1F9E" w14:textId="77777777" w:rsidR="00402C92" w:rsidRDefault="00402C92" w:rsidP="00402C92">
            <w:pPr>
              <w:rPr>
                <w:rFonts w:ascii="Tenorite" w:hAnsi="Tenorite"/>
                <w:sz w:val="22"/>
                <w:szCs w:val="22"/>
              </w:rPr>
            </w:pPr>
            <w:r>
              <w:rPr>
                <w:rFonts w:ascii="Tenorite" w:hAnsi="Tenorite"/>
                <w:sz w:val="22"/>
                <w:szCs w:val="22"/>
              </w:rPr>
              <w:t>Look for sessions that share best practices to bring back for consideration that other information governance professionals have found to be effective and beneficial to their stakeholders.</w:t>
            </w:r>
          </w:p>
          <w:p w14:paraId="02DCD3FB" w14:textId="77777777" w:rsidR="00402C92" w:rsidRDefault="00402C92" w:rsidP="00402C92">
            <w:pPr>
              <w:rPr>
                <w:rFonts w:ascii="Tenorite" w:hAnsi="Tenorite"/>
                <w:sz w:val="22"/>
                <w:szCs w:val="22"/>
              </w:rPr>
            </w:pPr>
            <w:r>
              <w:rPr>
                <w:rFonts w:ascii="Tenorite" w:hAnsi="Tenorite"/>
                <w:sz w:val="22"/>
                <w:szCs w:val="22"/>
              </w:rPr>
              <w:t>1.</w:t>
            </w:r>
          </w:p>
          <w:p w14:paraId="184BF317" w14:textId="77777777" w:rsidR="00402C92" w:rsidRDefault="00402C92" w:rsidP="00402C92">
            <w:pPr>
              <w:rPr>
                <w:rFonts w:ascii="Tenorite" w:hAnsi="Tenorite"/>
                <w:sz w:val="22"/>
                <w:szCs w:val="22"/>
              </w:rPr>
            </w:pPr>
            <w:r>
              <w:rPr>
                <w:rFonts w:ascii="Tenorite" w:hAnsi="Tenorite"/>
                <w:sz w:val="22"/>
                <w:szCs w:val="22"/>
              </w:rPr>
              <w:t>2.</w:t>
            </w:r>
          </w:p>
          <w:p w14:paraId="3128EED6" w14:textId="4A4BA522" w:rsidR="00402C92" w:rsidRPr="00DC4406" w:rsidRDefault="00402C92" w:rsidP="00402C92">
            <w:pPr>
              <w:rPr>
                <w:rFonts w:ascii="Tenorite" w:hAnsi="Tenorite"/>
                <w:sz w:val="22"/>
                <w:szCs w:val="22"/>
              </w:rPr>
            </w:pPr>
            <w:r>
              <w:rPr>
                <w:rFonts w:ascii="Tenorite" w:hAnsi="Tenorite"/>
                <w:sz w:val="22"/>
                <w:szCs w:val="22"/>
              </w:rPr>
              <w:t>3.</w:t>
            </w:r>
          </w:p>
        </w:tc>
      </w:tr>
      <w:tr w:rsidR="00402C92" w14:paraId="0C0A8BDF" w14:textId="77777777" w:rsidTr="00EB3771">
        <w:trPr>
          <w:trHeight w:val="560"/>
          <w:jc w:val="center"/>
        </w:trPr>
        <w:tc>
          <w:tcPr>
            <w:tcW w:w="4480" w:type="dxa"/>
            <w:vAlign w:val="center"/>
            <w:hideMark/>
          </w:tcPr>
          <w:p w14:paraId="018019C1" w14:textId="0BFB4C57" w:rsidR="00402C92" w:rsidRDefault="00402C92" w:rsidP="00402C92">
            <w:pPr>
              <w:rPr>
                <w:rFonts w:ascii="Tenorite" w:hAnsi="Tenorite"/>
                <w:b/>
                <w:bCs/>
                <w:color w:val="000000"/>
                <w:sz w:val="22"/>
                <w:szCs w:val="22"/>
              </w:rPr>
            </w:pPr>
            <w:r>
              <w:rPr>
                <w:rFonts w:ascii="Tenorite" w:hAnsi="Tenorite"/>
                <w:b/>
                <w:bCs/>
                <w:color w:val="000000"/>
                <w:sz w:val="22"/>
                <w:szCs w:val="22"/>
              </w:rPr>
              <w:lastRenderedPageBreak/>
              <w:t>Current Tools &amp; Technologies</w:t>
            </w:r>
          </w:p>
        </w:tc>
        <w:tc>
          <w:tcPr>
            <w:tcW w:w="6680" w:type="dxa"/>
            <w:vAlign w:val="center"/>
            <w:hideMark/>
          </w:tcPr>
          <w:p w14:paraId="760E2A34" w14:textId="07550462" w:rsidR="00402C92" w:rsidRDefault="00402C92" w:rsidP="00402C92">
            <w:pPr>
              <w:rPr>
                <w:rFonts w:ascii="Tenorite" w:hAnsi="Tenorite"/>
                <w:sz w:val="22"/>
                <w:szCs w:val="22"/>
              </w:rPr>
            </w:pPr>
            <w:r w:rsidRPr="00DC4406">
              <w:rPr>
                <w:rFonts w:ascii="Tenorite" w:hAnsi="Tenorite"/>
                <w:sz w:val="22"/>
                <w:szCs w:val="22"/>
              </w:rPr>
              <w:t xml:space="preserve">Look for sessions which address current </w:t>
            </w:r>
            <w:r>
              <w:rPr>
                <w:rFonts w:ascii="Tenorite" w:hAnsi="Tenorite"/>
                <w:sz w:val="22"/>
                <w:szCs w:val="22"/>
              </w:rPr>
              <w:t xml:space="preserve">technologies you are using and/or </w:t>
            </w:r>
            <w:r w:rsidRPr="00DC4406">
              <w:rPr>
                <w:rFonts w:ascii="Tenorite" w:hAnsi="Tenorite"/>
                <w:sz w:val="22"/>
                <w:szCs w:val="22"/>
              </w:rPr>
              <w:t xml:space="preserve">issues you are facing. </w:t>
            </w:r>
          </w:p>
          <w:p w14:paraId="18760C32" w14:textId="77777777" w:rsidR="00402C92" w:rsidRDefault="00402C92" w:rsidP="00402C92">
            <w:pPr>
              <w:rPr>
                <w:rFonts w:ascii="Tenorite" w:hAnsi="Tenorite"/>
                <w:sz w:val="22"/>
                <w:szCs w:val="22"/>
              </w:rPr>
            </w:pPr>
            <w:r>
              <w:rPr>
                <w:rFonts w:ascii="Tenorite" w:hAnsi="Tenorite"/>
                <w:sz w:val="22"/>
                <w:szCs w:val="22"/>
              </w:rPr>
              <w:t>1.</w:t>
            </w:r>
          </w:p>
          <w:p w14:paraId="664A02FC" w14:textId="77777777" w:rsidR="00402C92" w:rsidRDefault="00402C92" w:rsidP="00402C92">
            <w:pPr>
              <w:rPr>
                <w:rFonts w:ascii="Tenorite" w:hAnsi="Tenorite"/>
                <w:sz w:val="22"/>
                <w:szCs w:val="22"/>
              </w:rPr>
            </w:pPr>
            <w:r>
              <w:rPr>
                <w:rFonts w:ascii="Tenorite" w:hAnsi="Tenorite"/>
                <w:sz w:val="22"/>
                <w:szCs w:val="22"/>
              </w:rPr>
              <w:t>2.</w:t>
            </w:r>
          </w:p>
          <w:p w14:paraId="2A68A83A" w14:textId="743C61C9" w:rsidR="00402C92" w:rsidRPr="00DC4406" w:rsidRDefault="00402C92" w:rsidP="00402C92">
            <w:pPr>
              <w:rPr>
                <w:rFonts w:ascii="Tenorite" w:hAnsi="Tenorite"/>
                <w:sz w:val="22"/>
                <w:szCs w:val="22"/>
              </w:rPr>
            </w:pPr>
            <w:r>
              <w:rPr>
                <w:rFonts w:ascii="Tenorite" w:hAnsi="Tenorite"/>
                <w:sz w:val="22"/>
                <w:szCs w:val="22"/>
              </w:rPr>
              <w:t>3.</w:t>
            </w:r>
          </w:p>
        </w:tc>
      </w:tr>
      <w:tr w:rsidR="00402C92" w14:paraId="40662D4F" w14:textId="77777777" w:rsidTr="00EB3771">
        <w:trPr>
          <w:trHeight w:val="560"/>
          <w:jc w:val="center"/>
        </w:trPr>
        <w:tc>
          <w:tcPr>
            <w:tcW w:w="4480" w:type="dxa"/>
            <w:vAlign w:val="center"/>
            <w:hideMark/>
          </w:tcPr>
          <w:p w14:paraId="0BA49DFA" w14:textId="0E2B38FB" w:rsidR="00402C92" w:rsidRDefault="00402C92" w:rsidP="00402C92">
            <w:pPr>
              <w:rPr>
                <w:rFonts w:ascii="Tenorite" w:hAnsi="Tenorite"/>
                <w:b/>
                <w:bCs/>
                <w:color w:val="000000"/>
                <w:sz w:val="22"/>
                <w:szCs w:val="22"/>
              </w:rPr>
            </w:pPr>
            <w:r>
              <w:rPr>
                <w:rFonts w:ascii="Tenorite" w:hAnsi="Tenorite"/>
                <w:b/>
                <w:bCs/>
                <w:color w:val="000000"/>
                <w:sz w:val="22"/>
                <w:szCs w:val="22"/>
              </w:rPr>
              <w:t>Future Tools &amp; Technologies Exploration</w:t>
            </w:r>
          </w:p>
        </w:tc>
        <w:tc>
          <w:tcPr>
            <w:tcW w:w="6680" w:type="dxa"/>
            <w:vAlign w:val="center"/>
            <w:hideMark/>
          </w:tcPr>
          <w:p w14:paraId="0B2C3F94" w14:textId="07E73ABE" w:rsidR="00402C92" w:rsidRDefault="00402C92" w:rsidP="00402C92">
            <w:pPr>
              <w:rPr>
                <w:rFonts w:ascii="Tenorite" w:hAnsi="Tenorite"/>
                <w:sz w:val="22"/>
                <w:szCs w:val="22"/>
              </w:rPr>
            </w:pPr>
            <w:r w:rsidRPr="00DC4406">
              <w:rPr>
                <w:rFonts w:ascii="Tenorite" w:hAnsi="Tenorite"/>
                <w:sz w:val="22"/>
                <w:szCs w:val="22"/>
              </w:rPr>
              <w:t xml:space="preserve">Look for sessions which address </w:t>
            </w:r>
            <w:r>
              <w:rPr>
                <w:rFonts w:ascii="Tenorite" w:hAnsi="Tenorite"/>
                <w:sz w:val="22"/>
                <w:szCs w:val="22"/>
              </w:rPr>
              <w:t>emerging trends in information governance.</w:t>
            </w:r>
            <w:r w:rsidRPr="00DC4406">
              <w:rPr>
                <w:rFonts w:ascii="Tenorite" w:hAnsi="Tenorite"/>
                <w:sz w:val="22"/>
                <w:szCs w:val="22"/>
              </w:rPr>
              <w:t xml:space="preserve"> </w:t>
            </w:r>
          </w:p>
          <w:p w14:paraId="3B8FC6F0" w14:textId="77777777" w:rsidR="00402C92" w:rsidRDefault="00402C92" w:rsidP="00402C92">
            <w:pPr>
              <w:rPr>
                <w:rFonts w:ascii="Tenorite" w:hAnsi="Tenorite"/>
                <w:sz w:val="22"/>
                <w:szCs w:val="22"/>
              </w:rPr>
            </w:pPr>
            <w:r>
              <w:rPr>
                <w:rFonts w:ascii="Tenorite" w:hAnsi="Tenorite"/>
                <w:sz w:val="22"/>
                <w:szCs w:val="22"/>
              </w:rPr>
              <w:t>1.</w:t>
            </w:r>
          </w:p>
          <w:p w14:paraId="14A9DC1D" w14:textId="77777777" w:rsidR="00402C92" w:rsidRDefault="00402C92" w:rsidP="00402C92">
            <w:pPr>
              <w:rPr>
                <w:rFonts w:ascii="Tenorite" w:hAnsi="Tenorite"/>
                <w:sz w:val="22"/>
                <w:szCs w:val="22"/>
              </w:rPr>
            </w:pPr>
            <w:r>
              <w:rPr>
                <w:rFonts w:ascii="Tenorite" w:hAnsi="Tenorite"/>
                <w:sz w:val="22"/>
                <w:szCs w:val="22"/>
              </w:rPr>
              <w:t>2.</w:t>
            </w:r>
          </w:p>
          <w:p w14:paraId="454D453E" w14:textId="3FAD5BC9" w:rsidR="00402C92" w:rsidRPr="00DC4406" w:rsidRDefault="00402C92" w:rsidP="00402C92">
            <w:pPr>
              <w:rPr>
                <w:rFonts w:ascii="Tenorite" w:hAnsi="Tenorite"/>
                <w:sz w:val="22"/>
                <w:szCs w:val="22"/>
              </w:rPr>
            </w:pPr>
            <w:r>
              <w:rPr>
                <w:rFonts w:ascii="Tenorite" w:hAnsi="Tenorite"/>
                <w:sz w:val="22"/>
                <w:szCs w:val="22"/>
              </w:rPr>
              <w:t>3.</w:t>
            </w:r>
          </w:p>
        </w:tc>
      </w:tr>
      <w:tr w:rsidR="00402C92" w14:paraId="048CECBF" w14:textId="77777777" w:rsidTr="00EB3771">
        <w:trPr>
          <w:trHeight w:val="188"/>
          <w:jc w:val="center"/>
        </w:trPr>
        <w:tc>
          <w:tcPr>
            <w:tcW w:w="4480" w:type="dxa"/>
            <w:vAlign w:val="center"/>
            <w:hideMark/>
          </w:tcPr>
          <w:p w14:paraId="2BF12D9E" w14:textId="77777777" w:rsidR="00402C92" w:rsidRDefault="00402C92" w:rsidP="00402C92">
            <w:pPr>
              <w:rPr>
                <w:rFonts w:ascii="Tenorite" w:hAnsi="Tenorite"/>
                <w:b/>
                <w:bCs/>
                <w:color w:val="000000"/>
                <w:sz w:val="22"/>
                <w:szCs w:val="22"/>
              </w:rPr>
            </w:pPr>
            <w:r>
              <w:rPr>
                <w:rFonts w:ascii="Tenorite" w:hAnsi="Tenorite"/>
                <w:b/>
                <w:bCs/>
                <w:color w:val="000000"/>
                <w:sz w:val="22"/>
                <w:szCs w:val="22"/>
              </w:rPr>
              <w:t>Vendors with Tools &amp; Technologies You Are Exploring</w:t>
            </w:r>
          </w:p>
        </w:tc>
        <w:tc>
          <w:tcPr>
            <w:tcW w:w="6680" w:type="dxa"/>
            <w:vAlign w:val="center"/>
            <w:hideMark/>
          </w:tcPr>
          <w:p w14:paraId="7A4B9123" w14:textId="3799B293" w:rsidR="00402C92" w:rsidRDefault="00402C92" w:rsidP="00402C92">
            <w:pPr>
              <w:rPr>
                <w:rFonts w:ascii="Tenorite" w:hAnsi="Tenorite"/>
                <w:sz w:val="22"/>
                <w:szCs w:val="22"/>
              </w:rPr>
            </w:pPr>
            <w:r w:rsidRPr="00DC4406">
              <w:rPr>
                <w:rFonts w:ascii="Tenorite" w:hAnsi="Tenorite"/>
                <w:sz w:val="22"/>
                <w:szCs w:val="22"/>
              </w:rPr>
              <w:t>Are you in the market for new product</w:t>
            </w:r>
            <w:r>
              <w:rPr>
                <w:rFonts w:ascii="Tenorite" w:hAnsi="Tenorite"/>
                <w:sz w:val="22"/>
                <w:szCs w:val="22"/>
              </w:rPr>
              <w:t>s</w:t>
            </w:r>
            <w:r w:rsidRPr="00DC4406">
              <w:rPr>
                <w:rFonts w:ascii="Tenorite" w:hAnsi="Tenorite"/>
                <w:sz w:val="22"/>
                <w:szCs w:val="22"/>
              </w:rPr>
              <w:t xml:space="preserve"> or service</w:t>
            </w:r>
            <w:r>
              <w:rPr>
                <w:rFonts w:ascii="Tenorite" w:hAnsi="Tenorite"/>
                <w:sz w:val="22"/>
                <w:szCs w:val="22"/>
              </w:rPr>
              <w:t>s</w:t>
            </w:r>
            <w:r w:rsidRPr="00DC4406">
              <w:rPr>
                <w:rFonts w:ascii="Tenorite" w:hAnsi="Tenorite"/>
                <w:sz w:val="22"/>
                <w:szCs w:val="22"/>
              </w:rPr>
              <w:t xml:space="preserve">? Look for exhibitors that are providing </w:t>
            </w:r>
            <w:r>
              <w:rPr>
                <w:rFonts w:ascii="Tenorite" w:hAnsi="Tenorite"/>
                <w:sz w:val="22"/>
                <w:szCs w:val="22"/>
              </w:rPr>
              <w:t>solutions your organization may find valuable</w:t>
            </w:r>
            <w:r w:rsidRPr="00DC4406">
              <w:rPr>
                <w:rFonts w:ascii="Tenorite" w:hAnsi="Tenorite"/>
                <w:sz w:val="22"/>
                <w:szCs w:val="22"/>
              </w:rPr>
              <w:t>.</w:t>
            </w:r>
          </w:p>
          <w:p w14:paraId="400BE5C6" w14:textId="77777777" w:rsidR="00402C92" w:rsidRDefault="00402C92" w:rsidP="00402C92">
            <w:pPr>
              <w:rPr>
                <w:rFonts w:ascii="Tenorite" w:hAnsi="Tenorite"/>
                <w:sz w:val="22"/>
                <w:szCs w:val="22"/>
              </w:rPr>
            </w:pPr>
            <w:r>
              <w:rPr>
                <w:rFonts w:ascii="Tenorite" w:hAnsi="Tenorite"/>
                <w:sz w:val="22"/>
                <w:szCs w:val="22"/>
              </w:rPr>
              <w:t>1.</w:t>
            </w:r>
          </w:p>
          <w:p w14:paraId="38924F5D" w14:textId="77777777" w:rsidR="00402C92" w:rsidRDefault="00402C92" w:rsidP="00402C92">
            <w:pPr>
              <w:rPr>
                <w:rFonts w:ascii="Tenorite" w:hAnsi="Tenorite"/>
                <w:sz w:val="22"/>
                <w:szCs w:val="22"/>
              </w:rPr>
            </w:pPr>
            <w:r>
              <w:rPr>
                <w:rFonts w:ascii="Tenorite" w:hAnsi="Tenorite"/>
                <w:sz w:val="22"/>
                <w:szCs w:val="22"/>
              </w:rPr>
              <w:t>2.</w:t>
            </w:r>
          </w:p>
          <w:p w14:paraId="5E6FDD62" w14:textId="4F3648CB" w:rsidR="00402C92" w:rsidRPr="00DC4406" w:rsidRDefault="00402C92" w:rsidP="00402C92">
            <w:pPr>
              <w:rPr>
                <w:rFonts w:ascii="Tenorite" w:hAnsi="Tenorite"/>
                <w:sz w:val="22"/>
                <w:szCs w:val="22"/>
              </w:rPr>
            </w:pPr>
            <w:r>
              <w:rPr>
                <w:rFonts w:ascii="Tenorite" w:hAnsi="Tenorite"/>
                <w:sz w:val="22"/>
                <w:szCs w:val="22"/>
              </w:rPr>
              <w:t>3.</w:t>
            </w:r>
          </w:p>
        </w:tc>
      </w:tr>
      <w:tr w:rsidR="00402C92" w14:paraId="10687DAD" w14:textId="77777777" w:rsidTr="00EB3771">
        <w:trPr>
          <w:trHeight w:val="188"/>
          <w:jc w:val="center"/>
        </w:trPr>
        <w:tc>
          <w:tcPr>
            <w:tcW w:w="4480" w:type="dxa"/>
            <w:vAlign w:val="center"/>
          </w:tcPr>
          <w:p w14:paraId="4683F98C" w14:textId="77777777" w:rsidR="00402C92" w:rsidRDefault="00402C92" w:rsidP="00402C92">
            <w:pPr>
              <w:rPr>
                <w:rFonts w:ascii="Tenorite" w:hAnsi="Tenorite"/>
                <w:b/>
                <w:bCs/>
                <w:color w:val="000000"/>
                <w:sz w:val="22"/>
                <w:szCs w:val="22"/>
              </w:rPr>
            </w:pPr>
          </w:p>
        </w:tc>
        <w:tc>
          <w:tcPr>
            <w:tcW w:w="6680" w:type="dxa"/>
            <w:vAlign w:val="center"/>
          </w:tcPr>
          <w:p w14:paraId="0BCA2648" w14:textId="77777777" w:rsidR="00402C92" w:rsidRDefault="00402C92" w:rsidP="00402C92">
            <w:pPr>
              <w:rPr>
                <w:rFonts w:ascii="Tenorite" w:hAnsi="Tenorite"/>
                <w:sz w:val="22"/>
                <w:szCs w:val="22"/>
              </w:rPr>
            </w:pPr>
            <w:r>
              <w:rPr>
                <w:rFonts w:ascii="Tenorite" w:hAnsi="Tenorite"/>
                <w:sz w:val="22"/>
                <w:szCs w:val="22"/>
              </w:rPr>
              <w:t>1.</w:t>
            </w:r>
          </w:p>
          <w:p w14:paraId="652B45C9" w14:textId="77777777" w:rsidR="00402C92" w:rsidRDefault="00402C92" w:rsidP="00402C92">
            <w:pPr>
              <w:rPr>
                <w:rFonts w:ascii="Tenorite" w:hAnsi="Tenorite"/>
                <w:sz w:val="22"/>
                <w:szCs w:val="22"/>
              </w:rPr>
            </w:pPr>
            <w:r>
              <w:rPr>
                <w:rFonts w:ascii="Tenorite" w:hAnsi="Tenorite"/>
                <w:sz w:val="22"/>
                <w:szCs w:val="22"/>
              </w:rPr>
              <w:t>2.</w:t>
            </w:r>
          </w:p>
          <w:p w14:paraId="500950AB" w14:textId="4821219C" w:rsidR="00402C92" w:rsidRPr="00DC4406" w:rsidRDefault="00402C92" w:rsidP="00402C92">
            <w:pPr>
              <w:rPr>
                <w:rFonts w:ascii="Tenorite" w:hAnsi="Tenorite"/>
                <w:sz w:val="22"/>
                <w:szCs w:val="22"/>
              </w:rPr>
            </w:pPr>
            <w:r>
              <w:rPr>
                <w:rFonts w:ascii="Tenorite" w:hAnsi="Tenorite"/>
                <w:sz w:val="22"/>
                <w:szCs w:val="22"/>
              </w:rPr>
              <w:t>3.</w:t>
            </w:r>
          </w:p>
        </w:tc>
      </w:tr>
      <w:tr w:rsidR="00402C92" w14:paraId="2D25792B" w14:textId="77777777" w:rsidTr="00EB3771">
        <w:trPr>
          <w:trHeight w:val="188"/>
          <w:jc w:val="center"/>
        </w:trPr>
        <w:tc>
          <w:tcPr>
            <w:tcW w:w="4480" w:type="dxa"/>
            <w:vAlign w:val="center"/>
          </w:tcPr>
          <w:p w14:paraId="74DEBC26" w14:textId="77777777" w:rsidR="00402C92" w:rsidRDefault="00402C92" w:rsidP="00402C92">
            <w:pPr>
              <w:rPr>
                <w:rFonts w:ascii="Tenorite" w:hAnsi="Tenorite"/>
                <w:b/>
                <w:bCs/>
                <w:color w:val="000000"/>
                <w:sz w:val="22"/>
                <w:szCs w:val="22"/>
              </w:rPr>
            </w:pPr>
          </w:p>
        </w:tc>
        <w:tc>
          <w:tcPr>
            <w:tcW w:w="6680" w:type="dxa"/>
            <w:vAlign w:val="center"/>
          </w:tcPr>
          <w:p w14:paraId="3A134599" w14:textId="77777777" w:rsidR="00402C92" w:rsidRDefault="00402C92" w:rsidP="00402C92">
            <w:pPr>
              <w:rPr>
                <w:rFonts w:ascii="Tenorite" w:hAnsi="Tenorite"/>
                <w:sz w:val="22"/>
                <w:szCs w:val="22"/>
              </w:rPr>
            </w:pPr>
            <w:r>
              <w:rPr>
                <w:rFonts w:ascii="Tenorite" w:hAnsi="Tenorite"/>
                <w:sz w:val="22"/>
                <w:szCs w:val="22"/>
              </w:rPr>
              <w:t>1.</w:t>
            </w:r>
          </w:p>
          <w:p w14:paraId="1061D5F4" w14:textId="77777777" w:rsidR="00402C92" w:rsidRDefault="00402C92" w:rsidP="00402C92">
            <w:pPr>
              <w:rPr>
                <w:rFonts w:ascii="Tenorite" w:hAnsi="Tenorite"/>
                <w:sz w:val="22"/>
                <w:szCs w:val="22"/>
              </w:rPr>
            </w:pPr>
            <w:r>
              <w:rPr>
                <w:rFonts w:ascii="Tenorite" w:hAnsi="Tenorite"/>
                <w:sz w:val="22"/>
                <w:szCs w:val="22"/>
              </w:rPr>
              <w:t>2.</w:t>
            </w:r>
          </w:p>
          <w:p w14:paraId="1FE4F205" w14:textId="14599D2D" w:rsidR="00402C92" w:rsidRPr="00DC4406" w:rsidRDefault="00402C92" w:rsidP="00402C92">
            <w:pPr>
              <w:rPr>
                <w:rFonts w:ascii="Tenorite" w:hAnsi="Tenorite"/>
                <w:sz w:val="22"/>
                <w:szCs w:val="22"/>
              </w:rPr>
            </w:pPr>
            <w:r>
              <w:rPr>
                <w:rFonts w:ascii="Tenorite" w:hAnsi="Tenorite"/>
                <w:sz w:val="22"/>
                <w:szCs w:val="22"/>
              </w:rPr>
              <w:t>3.</w:t>
            </w:r>
          </w:p>
        </w:tc>
      </w:tr>
    </w:tbl>
    <w:p w14:paraId="59902AC6" w14:textId="61C9D403" w:rsidR="00300F7D" w:rsidRPr="00300F7D" w:rsidRDefault="00300F7D" w:rsidP="00EB09A5">
      <w:pPr>
        <w:tabs>
          <w:tab w:val="left" w:pos="360"/>
          <w:tab w:val="left" w:pos="3600"/>
        </w:tabs>
      </w:pPr>
    </w:p>
    <w:sectPr w:rsidR="00300F7D" w:rsidRPr="00300F7D" w:rsidSect="00A52936">
      <w:headerReference w:type="default" r:id="rId7"/>
      <w:pgSz w:w="12240" w:h="15840"/>
      <w:pgMar w:top="360" w:right="720" w:bottom="360" w:left="72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4CE5" w14:textId="77777777" w:rsidR="002A5333" w:rsidRDefault="002A5333">
      <w:r>
        <w:separator/>
      </w:r>
    </w:p>
  </w:endnote>
  <w:endnote w:type="continuationSeparator" w:id="0">
    <w:p w14:paraId="29DC2645" w14:textId="77777777" w:rsidR="002A5333" w:rsidRDefault="002A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B1B1" w14:textId="77777777" w:rsidR="002A5333" w:rsidRDefault="002A5333">
      <w:r>
        <w:separator/>
      </w:r>
    </w:p>
  </w:footnote>
  <w:footnote w:type="continuationSeparator" w:id="0">
    <w:p w14:paraId="5125D8BF" w14:textId="77777777" w:rsidR="002A5333" w:rsidRDefault="002A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867F" w14:textId="77777777" w:rsidR="0032004B" w:rsidRDefault="0032004B">
    <w:pPr>
      <w:pStyle w:val="Header"/>
    </w:pPr>
    <w:r>
      <w:rPr>
        <w:noProof/>
      </w:rPr>
      <w:drawing>
        <wp:anchor distT="0" distB="0" distL="114300" distR="114300" simplePos="0" relativeHeight="251659264" behindDoc="0" locked="0" layoutInCell="1" allowOverlap="1" wp14:anchorId="47232CE5" wp14:editId="68E13099">
          <wp:simplePos x="0" y="0"/>
          <wp:positionH relativeFrom="page">
            <wp:posOffset>636905</wp:posOffset>
          </wp:positionH>
          <wp:positionV relativeFrom="paragraph">
            <wp:posOffset>-387350</wp:posOffset>
          </wp:positionV>
          <wp:extent cx="6446520" cy="805815"/>
          <wp:effectExtent l="0" t="0" r="0" b="0"/>
          <wp:wrapSquare wrapText="bothSides"/>
          <wp:docPr id="190350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0931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4652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A6F"/>
    <w:multiLevelType w:val="hybridMultilevel"/>
    <w:tmpl w:val="AE08F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42909"/>
    <w:multiLevelType w:val="multilevel"/>
    <w:tmpl w:val="E0A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C047A"/>
    <w:multiLevelType w:val="multilevel"/>
    <w:tmpl w:val="E892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00BAB"/>
    <w:multiLevelType w:val="hybridMultilevel"/>
    <w:tmpl w:val="ADE0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8497E"/>
    <w:multiLevelType w:val="hybridMultilevel"/>
    <w:tmpl w:val="3080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A6EE5"/>
    <w:multiLevelType w:val="multilevel"/>
    <w:tmpl w:val="255C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A1845"/>
    <w:multiLevelType w:val="multilevel"/>
    <w:tmpl w:val="68FC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B73F7"/>
    <w:multiLevelType w:val="hybridMultilevel"/>
    <w:tmpl w:val="535A2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C0620"/>
    <w:multiLevelType w:val="multilevel"/>
    <w:tmpl w:val="54F0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76CDB"/>
    <w:multiLevelType w:val="multilevel"/>
    <w:tmpl w:val="D9AE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92840">
    <w:abstractNumId w:val="7"/>
  </w:num>
  <w:num w:numId="2" w16cid:durableId="965088547">
    <w:abstractNumId w:val="0"/>
  </w:num>
  <w:num w:numId="3" w16cid:durableId="1458138250">
    <w:abstractNumId w:val="4"/>
  </w:num>
  <w:num w:numId="4" w16cid:durableId="1099838539">
    <w:abstractNumId w:val="5"/>
  </w:num>
  <w:num w:numId="5" w16cid:durableId="789590082">
    <w:abstractNumId w:val="3"/>
  </w:num>
  <w:num w:numId="6" w16cid:durableId="1185946799">
    <w:abstractNumId w:val="8"/>
  </w:num>
  <w:num w:numId="7" w16cid:durableId="8603319">
    <w:abstractNumId w:val="1"/>
  </w:num>
  <w:num w:numId="8" w16cid:durableId="2114470007">
    <w:abstractNumId w:val="2"/>
  </w:num>
  <w:num w:numId="9" w16cid:durableId="534275732">
    <w:abstractNumId w:val="6"/>
  </w:num>
  <w:num w:numId="10" w16cid:durableId="1093362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7D"/>
    <w:rsid w:val="00097162"/>
    <w:rsid w:val="00097B7A"/>
    <w:rsid w:val="001461C1"/>
    <w:rsid w:val="001A5119"/>
    <w:rsid w:val="00266634"/>
    <w:rsid w:val="002A5333"/>
    <w:rsid w:val="002D111C"/>
    <w:rsid w:val="00300F7D"/>
    <w:rsid w:val="0032004B"/>
    <w:rsid w:val="00402C92"/>
    <w:rsid w:val="004A3181"/>
    <w:rsid w:val="00520D26"/>
    <w:rsid w:val="005257D7"/>
    <w:rsid w:val="00537C52"/>
    <w:rsid w:val="00582267"/>
    <w:rsid w:val="005A20C1"/>
    <w:rsid w:val="00601443"/>
    <w:rsid w:val="006455F9"/>
    <w:rsid w:val="00647F92"/>
    <w:rsid w:val="00680F49"/>
    <w:rsid w:val="00702C82"/>
    <w:rsid w:val="0070647F"/>
    <w:rsid w:val="008018A0"/>
    <w:rsid w:val="00830E17"/>
    <w:rsid w:val="00841378"/>
    <w:rsid w:val="008D4607"/>
    <w:rsid w:val="00926829"/>
    <w:rsid w:val="00955A1F"/>
    <w:rsid w:val="009C753F"/>
    <w:rsid w:val="00A52936"/>
    <w:rsid w:val="00AD1568"/>
    <w:rsid w:val="00B33027"/>
    <w:rsid w:val="00B84A68"/>
    <w:rsid w:val="00C05E0E"/>
    <w:rsid w:val="00C07395"/>
    <w:rsid w:val="00DC4406"/>
    <w:rsid w:val="00E254E9"/>
    <w:rsid w:val="00E60EEC"/>
    <w:rsid w:val="00E616B7"/>
    <w:rsid w:val="00E97458"/>
    <w:rsid w:val="00EB09A5"/>
    <w:rsid w:val="00EB3771"/>
    <w:rsid w:val="00EC731F"/>
    <w:rsid w:val="00F10D08"/>
    <w:rsid w:val="00F30F5D"/>
    <w:rsid w:val="00F32ED0"/>
    <w:rsid w:val="00F647F3"/>
    <w:rsid w:val="00F6671A"/>
    <w:rsid w:val="00F76852"/>
    <w:rsid w:val="00FB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146C"/>
  <w15:chartTrackingRefBased/>
  <w15:docId w15:val="{4A83FBB3-1541-4208-8E31-A7F50A0D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7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00F7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0F7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0F7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0F7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00F7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00F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00F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00F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00F7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F7D"/>
    <w:rPr>
      <w:rFonts w:eastAsiaTheme="majorEastAsia" w:cstheme="majorBidi"/>
      <w:color w:val="272727" w:themeColor="text1" w:themeTint="D8"/>
    </w:rPr>
  </w:style>
  <w:style w:type="paragraph" w:styleId="Title">
    <w:name w:val="Title"/>
    <w:basedOn w:val="Normal"/>
    <w:next w:val="Normal"/>
    <w:link w:val="TitleChar"/>
    <w:uiPriority w:val="10"/>
    <w:qFormat/>
    <w:rsid w:val="00300F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F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0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F7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00F7D"/>
    <w:rPr>
      <w:i/>
      <w:iCs/>
      <w:color w:val="404040" w:themeColor="text1" w:themeTint="BF"/>
    </w:rPr>
  </w:style>
  <w:style w:type="paragraph" w:styleId="ListParagraph">
    <w:name w:val="List Paragraph"/>
    <w:basedOn w:val="Normal"/>
    <w:uiPriority w:val="34"/>
    <w:qFormat/>
    <w:rsid w:val="00300F7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00F7D"/>
    <w:rPr>
      <w:i/>
      <w:iCs/>
      <w:color w:val="0F4761" w:themeColor="accent1" w:themeShade="BF"/>
    </w:rPr>
  </w:style>
  <w:style w:type="paragraph" w:styleId="IntenseQuote">
    <w:name w:val="Intense Quote"/>
    <w:basedOn w:val="Normal"/>
    <w:next w:val="Normal"/>
    <w:link w:val="IntenseQuoteChar"/>
    <w:uiPriority w:val="30"/>
    <w:qFormat/>
    <w:rsid w:val="00300F7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00F7D"/>
    <w:rPr>
      <w:i/>
      <w:iCs/>
      <w:color w:val="0F4761" w:themeColor="accent1" w:themeShade="BF"/>
    </w:rPr>
  </w:style>
  <w:style w:type="character" w:styleId="IntenseReference">
    <w:name w:val="Intense Reference"/>
    <w:basedOn w:val="DefaultParagraphFont"/>
    <w:uiPriority w:val="32"/>
    <w:qFormat/>
    <w:rsid w:val="00300F7D"/>
    <w:rPr>
      <w:b/>
      <w:bCs/>
      <w:smallCaps/>
      <w:color w:val="0F4761" w:themeColor="accent1" w:themeShade="BF"/>
      <w:spacing w:val="5"/>
    </w:rPr>
  </w:style>
  <w:style w:type="character" w:styleId="Hyperlink">
    <w:name w:val="Hyperlink"/>
    <w:basedOn w:val="DefaultParagraphFont"/>
    <w:uiPriority w:val="99"/>
    <w:unhideWhenUsed/>
    <w:rsid w:val="00300F7D"/>
    <w:rPr>
      <w:color w:val="0000FF"/>
      <w:u w:val="single"/>
    </w:rPr>
  </w:style>
  <w:style w:type="paragraph" w:styleId="Header">
    <w:name w:val="header"/>
    <w:basedOn w:val="Normal"/>
    <w:link w:val="HeaderChar"/>
    <w:uiPriority w:val="99"/>
    <w:unhideWhenUsed/>
    <w:rsid w:val="00300F7D"/>
    <w:pPr>
      <w:tabs>
        <w:tab w:val="center" w:pos="4680"/>
        <w:tab w:val="right" w:pos="9360"/>
      </w:tabs>
    </w:pPr>
  </w:style>
  <w:style w:type="character" w:customStyle="1" w:styleId="HeaderChar">
    <w:name w:val="Header Char"/>
    <w:basedOn w:val="DefaultParagraphFont"/>
    <w:link w:val="Header"/>
    <w:uiPriority w:val="99"/>
    <w:rsid w:val="00300F7D"/>
    <w:rPr>
      <w:rFonts w:ascii="Times New Roman" w:eastAsia="Times New Roman" w:hAnsi="Times New Roman" w:cs="Times New Roman"/>
      <w:kern w:val="0"/>
      <w:sz w:val="24"/>
      <w:szCs w:val="24"/>
      <w14:ligatures w14:val="none"/>
    </w:rPr>
  </w:style>
  <w:style w:type="paragraph" w:customStyle="1" w:styleId="TitleDate">
    <w:name w:val="Title Date"/>
    <w:qFormat/>
    <w:rsid w:val="00EB09A5"/>
    <w:pPr>
      <w:spacing w:after="0" w:line="240" w:lineRule="auto"/>
    </w:pPr>
    <w:rPr>
      <w:rFonts w:ascii="Verdana" w:eastAsiaTheme="minorEastAsia" w:hAnsi="Verdana"/>
      <w:b/>
      <w:bCs/>
      <w:color w:val="FFFFFF" w:themeColor="background1"/>
      <w:kern w:val="0"/>
      <w:sz w:val="28"/>
      <w:szCs w:val="36"/>
      <w14:ligatures w14:val="none"/>
    </w:rPr>
  </w:style>
  <w:style w:type="paragraph" w:customStyle="1" w:styleId="TableParagraph">
    <w:name w:val="Table Paragraph"/>
    <w:basedOn w:val="Normal"/>
    <w:uiPriority w:val="1"/>
    <w:qFormat/>
    <w:rsid w:val="00EB09A5"/>
    <w:pPr>
      <w:widowControl w:val="0"/>
      <w:autoSpaceDE w:val="0"/>
      <w:autoSpaceDN w:val="0"/>
      <w:ind w:left="105"/>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E60EEC"/>
    <w:rPr>
      <w:color w:val="605E5C"/>
      <w:shd w:val="clear" w:color="auto" w:fill="E1DFDD"/>
    </w:rPr>
  </w:style>
  <w:style w:type="character" w:styleId="FollowedHyperlink">
    <w:name w:val="FollowedHyperlink"/>
    <w:basedOn w:val="DefaultParagraphFont"/>
    <w:uiPriority w:val="99"/>
    <w:semiHidden/>
    <w:unhideWhenUsed/>
    <w:rsid w:val="00E60EEC"/>
    <w:rPr>
      <w:color w:val="96607D" w:themeColor="followedHyperlink"/>
      <w:u w:val="single"/>
    </w:rPr>
  </w:style>
  <w:style w:type="paragraph" w:styleId="Footer">
    <w:name w:val="footer"/>
    <w:basedOn w:val="Normal"/>
    <w:link w:val="FooterChar"/>
    <w:uiPriority w:val="99"/>
    <w:unhideWhenUsed/>
    <w:rsid w:val="00E254E9"/>
    <w:pPr>
      <w:tabs>
        <w:tab w:val="center" w:pos="4680"/>
        <w:tab w:val="right" w:pos="9360"/>
      </w:tabs>
    </w:pPr>
  </w:style>
  <w:style w:type="character" w:customStyle="1" w:styleId="FooterChar">
    <w:name w:val="Footer Char"/>
    <w:basedOn w:val="DefaultParagraphFont"/>
    <w:link w:val="Footer"/>
    <w:uiPriority w:val="99"/>
    <w:rsid w:val="00E254E9"/>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25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525">
      <w:bodyDiv w:val="1"/>
      <w:marLeft w:val="0"/>
      <w:marRight w:val="0"/>
      <w:marTop w:val="0"/>
      <w:marBottom w:val="0"/>
      <w:divBdr>
        <w:top w:val="none" w:sz="0" w:space="0" w:color="auto"/>
        <w:left w:val="none" w:sz="0" w:space="0" w:color="auto"/>
        <w:bottom w:val="none" w:sz="0" w:space="0" w:color="auto"/>
        <w:right w:val="none" w:sz="0" w:space="0" w:color="auto"/>
      </w:divBdr>
    </w:div>
    <w:div w:id="1067923440">
      <w:bodyDiv w:val="1"/>
      <w:marLeft w:val="0"/>
      <w:marRight w:val="0"/>
      <w:marTop w:val="0"/>
      <w:marBottom w:val="0"/>
      <w:divBdr>
        <w:top w:val="none" w:sz="0" w:space="0" w:color="auto"/>
        <w:left w:val="none" w:sz="0" w:space="0" w:color="auto"/>
        <w:bottom w:val="none" w:sz="0" w:space="0" w:color="auto"/>
        <w:right w:val="none" w:sz="0" w:space="0" w:color="auto"/>
      </w:divBdr>
    </w:div>
    <w:div w:id="1124158327">
      <w:bodyDiv w:val="1"/>
      <w:marLeft w:val="0"/>
      <w:marRight w:val="0"/>
      <w:marTop w:val="0"/>
      <w:marBottom w:val="0"/>
      <w:divBdr>
        <w:top w:val="none" w:sz="0" w:space="0" w:color="auto"/>
        <w:left w:val="none" w:sz="0" w:space="0" w:color="auto"/>
        <w:bottom w:val="none" w:sz="0" w:space="0" w:color="auto"/>
        <w:right w:val="none" w:sz="0" w:space="0" w:color="auto"/>
      </w:divBdr>
    </w:div>
    <w:div w:id="1342245785">
      <w:bodyDiv w:val="1"/>
      <w:marLeft w:val="0"/>
      <w:marRight w:val="0"/>
      <w:marTop w:val="0"/>
      <w:marBottom w:val="0"/>
      <w:divBdr>
        <w:top w:val="none" w:sz="0" w:space="0" w:color="auto"/>
        <w:left w:val="none" w:sz="0" w:space="0" w:color="auto"/>
        <w:bottom w:val="none" w:sz="0" w:space="0" w:color="auto"/>
        <w:right w:val="none" w:sz="0" w:space="0" w:color="auto"/>
      </w:divBdr>
    </w:div>
    <w:div w:id="1838184326">
      <w:bodyDiv w:val="1"/>
      <w:marLeft w:val="0"/>
      <w:marRight w:val="0"/>
      <w:marTop w:val="0"/>
      <w:marBottom w:val="0"/>
      <w:divBdr>
        <w:top w:val="none" w:sz="0" w:space="0" w:color="auto"/>
        <w:left w:val="none" w:sz="0" w:space="0" w:color="auto"/>
        <w:bottom w:val="none" w:sz="0" w:space="0" w:color="auto"/>
        <w:right w:val="none" w:sz="0" w:space="0" w:color="auto"/>
      </w:divBdr>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820</Words>
  <Characters>4920</Characters>
  <Application>Microsoft Office Word</Application>
  <DocSecurity>0</DocSecurity>
  <Lines>117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Renuart</dc:creator>
  <cp:keywords/>
  <dc:description/>
  <cp:lastModifiedBy>Carrie Renuart</cp:lastModifiedBy>
  <cp:revision>15</cp:revision>
  <dcterms:created xsi:type="dcterms:W3CDTF">2025-04-11T00:55:00Z</dcterms:created>
  <dcterms:modified xsi:type="dcterms:W3CDTF">2025-11-19T02:14:00Z</dcterms:modified>
</cp:coreProperties>
</file>